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88733" w14:textId="1FFC58FC" w:rsidR="00051C34" w:rsidRPr="00F2751A" w:rsidRDefault="00952E48" w:rsidP="001D5274">
      <w:pPr>
        <w:ind w:left="142"/>
        <w:jc w:val="both"/>
        <w:rPr>
          <w:rFonts w:asciiTheme="minorHAnsi" w:hAnsiTheme="minorHAnsi"/>
          <w:b/>
          <w:bCs/>
          <w:sz w:val="22"/>
          <w:szCs w:val="22"/>
        </w:rPr>
      </w:pPr>
      <w:r w:rsidRPr="00F2751A">
        <w:rPr>
          <w:rFonts w:asciiTheme="minorHAnsi" w:eastAsia="Calibri" w:hAnsiTheme="minorHAnsi"/>
          <w:b/>
          <w:bCs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9E6E4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F2751A" w:rsidRPr="00F2751A">
        <w:rPr>
          <w:rFonts w:asciiTheme="minorHAnsi" w:eastAsia="Calibri" w:hAnsiTheme="minorHAnsi"/>
          <w:b/>
          <w:bCs/>
          <w:sz w:val="22"/>
          <w:szCs w:val="22"/>
          <w:lang w:eastAsia="en-US"/>
        </w:rPr>
        <w:t>Agenzia delle Dogane - Modalità semplificate di tenuta del registro di carico/scarico per depositi e impianti di distribuzione di prodotti energetici di cui all’art. 5, c. 1, lettera c) del DL 124/2019</w:t>
      </w:r>
    </w:p>
    <w:p w14:paraId="02A09719" w14:textId="5F0A802C" w:rsidR="008C1069" w:rsidRPr="00F2751A" w:rsidRDefault="008C1069" w:rsidP="001D527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581A34C5" w14:textId="7290811F" w:rsidR="00F2751A" w:rsidRPr="00F2751A" w:rsidRDefault="00F2751A" w:rsidP="001D5274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F2751A">
        <w:rPr>
          <w:rFonts w:asciiTheme="minorHAnsi" w:hAnsiTheme="minorHAnsi"/>
          <w:sz w:val="22"/>
          <w:szCs w:val="22"/>
        </w:rPr>
        <w:t>Determina n. 240433 del 27 dicembre 2019</w:t>
      </w:r>
    </w:p>
    <w:p w14:paraId="2CB66D8F" w14:textId="6D95E4FB" w:rsidR="00F2751A" w:rsidRDefault="00F2751A" w:rsidP="001D5274">
      <w:pPr>
        <w:ind w:left="142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2A7E6FD0" w14:textId="77777777" w:rsidR="00F2751A" w:rsidRPr="00F2751A" w:rsidRDefault="00F2751A" w:rsidP="001D5274">
      <w:pPr>
        <w:ind w:left="142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06746B5" w14:textId="60D7D35C" w:rsidR="00F2751A" w:rsidRDefault="00F2751A" w:rsidP="001D5274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F2751A">
        <w:rPr>
          <w:rFonts w:asciiTheme="minorHAnsi" w:hAnsiTheme="minorHAnsi"/>
          <w:sz w:val="22"/>
          <w:szCs w:val="22"/>
        </w:rPr>
        <w:t xml:space="preserve">ANITA informa che l’Agenzia delle Dogane, con la determina in oggetto, nel dare attuazione all’art. 5 del </w:t>
      </w:r>
      <w:proofErr w:type="spellStart"/>
      <w:r w:rsidRPr="00F2751A">
        <w:rPr>
          <w:rFonts w:asciiTheme="minorHAnsi" w:hAnsiTheme="minorHAnsi"/>
          <w:sz w:val="22"/>
          <w:szCs w:val="22"/>
        </w:rPr>
        <w:t>d.l.</w:t>
      </w:r>
      <w:proofErr w:type="spellEnd"/>
      <w:r w:rsidRPr="00F2751A">
        <w:rPr>
          <w:rFonts w:asciiTheme="minorHAnsi" w:hAnsiTheme="minorHAnsi"/>
          <w:sz w:val="22"/>
          <w:szCs w:val="22"/>
        </w:rPr>
        <w:t xml:space="preserve"> fiscale n. 124/2019, convertito, con modificazioni, dalla legge 19 dicembre 2019, n.157, ha fornito indicazioni circa le modalità semplificate per la tenuta del registro di carico e scarico per i depositi e i distributori ad uso privato.</w:t>
      </w:r>
    </w:p>
    <w:p w14:paraId="52D44D7B" w14:textId="77777777" w:rsidR="001D5274" w:rsidRPr="00F2751A" w:rsidRDefault="001D5274" w:rsidP="001D5274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151038C4" w14:textId="35617FA1" w:rsidR="00F2751A" w:rsidRDefault="00F2751A" w:rsidP="001D5274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F2751A">
        <w:rPr>
          <w:rFonts w:asciiTheme="minorHAnsi" w:hAnsiTheme="minorHAnsi"/>
          <w:sz w:val="22"/>
          <w:szCs w:val="22"/>
        </w:rPr>
        <w:t>ANITA ricorda che la c.d. “legge fiscale”, ha modificato l’art. 25 del TUA (Testo unico delle accise), abbassando le soglie oltre la quali è necessaria la denuncia di esercizio all’Agenzia delle dogane e la conseguente tenuta dei registri di carico e scarico con modalità semplificate.</w:t>
      </w:r>
    </w:p>
    <w:p w14:paraId="786A1143" w14:textId="77777777" w:rsidR="001D5274" w:rsidRPr="00F2751A" w:rsidRDefault="001D5274" w:rsidP="001D5274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2A5E74B9" w14:textId="35AD5874" w:rsidR="00F2751A" w:rsidRDefault="00F2751A" w:rsidP="001D5274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F2751A">
        <w:rPr>
          <w:rFonts w:asciiTheme="minorHAnsi" w:hAnsiTheme="minorHAnsi"/>
          <w:sz w:val="22"/>
          <w:szCs w:val="22"/>
        </w:rPr>
        <w:t>L’obbligo pertanto riguarda gli esercenti di depositi per uso privato compresi tra i 10 e i 25 mc, nonché gli esercenti apparecchi di distribuzione automatica di carburanti ad uso privato collegati a serbatoi di capacità compresa tra i 5 e i 10 mc.</w:t>
      </w:r>
    </w:p>
    <w:p w14:paraId="56271BC7" w14:textId="77777777" w:rsidR="001D5274" w:rsidRPr="00F2751A" w:rsidRDefault="001D5274" w:rsidP="001D5274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04B0A3ED" w14:textId="77777777" w:rsidR="00F2751A" w:rsidRPr="00F2751A" w:rsidRDefault="00F2751A" w:rsidP="001D5274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F2751A">
        <w:rPr>
          <w:rFonts w:asciiTheme="minorHAnsi" w:hAnsiTheme="minorHAnsi"/>
          <w:sz w:val="22"/>
          <w:szCs w:val="22"/>
        </w:rPr>
        <w:t>Le modalità semplificate di tenuta dei registri in oggetto, nonché i relativi adempimenti sono i seguenti:</w:t>
      </w:r>
    </w:p>
    <w:p w14:paraId="078D6210" w14:textId="2069DD78" w:rsidR="00F2751A" w:rsidRPr="001D5274" w:rsidRDefault="00F2751A" w:rsidP="001D5274">
      <w:pPr>
        <w:pStyle w:val="Paragrafoelenco"/>
        <w:numPr>
          <w:ilvl w:val="0"/>
          <w:numId w:val="15"/>
        </w:numPr>
        <w:spacing w:after="0" w:line="240" w:lineRule="auto"/>
        <w:jc w:val="both"/>
      </w:pPr>
      <w:r w:rsidRPr="001D5274">
        <w:t xml:space="preserve">il registro di carico e scarico è tenuto presso l’impianto, all’interno delle rispettive contabilità aziendali, su supporto elettronico ovvero cartaceo senza vidimazione dell’Ufficio delle dogane territorialmente competente. Le modalità di tenuta sono preventivamente dichiarate al </w:t>
      </w:r>
      <w:proofErr w:type="gramStart"/>
      <w:r w:rsidRPr="001D5274">
        <w:t>predetto</w:t>
      </w:r>
      <w:proofErr w:type="gramEnd"/>
      <w:r w:rsidRPr="001D5274">
        <w:t xml:space="preserve"> Ufficio al momento della denuncia.</w:t>
      </w:r>
    </w:p>
    <w:p w14:paraId="55F7C4AC" w14:textId="3ED4B504" w:rsidR="00F2751A" w:rsidRPr="00F2751A" w:rsidRDefault="00F2751A" w:rsidP="001D5274">
      <w:pPr>
        <w:pStyle w:val="Paragrafoelenco"/>
        <w:numPr>
          <w:ilvl w:val="0"/>
          <w:numId w:val="15"/>
        </w:numPr>
        <w:spacing w:after="0" w:line="240" w:lineRule="auto"/>
        <w:jc w:val="both"/>
      </w:pPr>
      <w:r w:rsidRPr="00F2751A">
        <w:t>Il registro ha validità fino alla cessazione della licenza di esercizio.</w:t>
      </w:r>
    </w:p>
    <w:p w14:paraId="1D40D18E" w14:textId="3849BAE0" w:rsidR="00F2751A" w:rsidRPr="00F2751A" w:rsidRDefault="00F2751A" w:rsidP="001D5274">
      <w:pPr>
        <w:pStyle w:val="Paragrafoelenco"/>
        <w:numPr>
          <w:ilvl w:val="0"/>
          <w:numId w:val="15"/>
        </w:numPr>
        <w:spacing w:after="0" w:line="240" w:lineRule="auto"/>
        <w:jc w:val="both"/>
      </w:pPr>
      <w:r w:rsidRPr="00F2751A">
        <w:t>Gli esercenti contabilizzano distintamente i diversi i prodotti energetici che sono oggetto di stoccaggio presso l’impianto.</w:t>
      </w:r>
    </w:p>
    <w:p w14:paraId="5AB3EA9C" w14:textId="606FF4F4" w:rsidR="00F2751A" w:rsidRPr="00F2751A" w:rsidRDefault="00F2751A" w:rsidP="001D5274">
      <w:pPr>
        <w:pStyle w:val="Paragrafoelenco"/>
        <w:numPr>
          <w:ilvl w:val="0"/>
          <w:numId w:val="15"/>
        </w:numPr>
        <w:spacing w:after="0" w:line="240" w:lineRule="auto"/>
        <w:jc w:val="both"/>
      </w:pPr>
      <w:r w:rsidRPr="00F2751A">
        <w:t>Le scritturazioni sul registro sono effettuate a decorrere dal primo giorno del quarto mese successivo alla data di pubblicazione della determinazione in oggetto sul sito internet dell’Agenzia, avvenuta il 30 dicembre 2019.</w:t>
      </w:r>
    </w:p>
    <w:p w14:paraId="433C3B16" w14:textId="4418A3DA" w:rsidR="00F2751A" w:rsidRPr="00F2751A" w:rsidRDefault="00F2751A" w:rsidP="001D5274">
      <w:pPr>
        <w:pStyle w:val="Paragrafoelenco"/>
        <w:numPr>
          <w:ilvl w:val="0"/>
          <w:numId w:val="15"/>
        </w:numPr>
        <w:spacing w:after="0" w:line="240" w:lineRule="auto"/>
        <w:jc w:val="both"/>
      </w:pPr>
      <w:r w:rsidRPr="001D5274">
        <w:t>Per ciascun prodotto energetico contabilizzato, la giacenza iniziale da riportare è quella rilevata</w:t>
      </w:r>
      <w:r w:rsidRPr="00F2751A">
        <w:t xml:space="preserve"> in autonomia dall’esercente alle ore 00:00 del primo giorno del quarto mese successivo alla data di pubblicazione della determinazione.</w:t>
      </w:r>
    </w:p>
    <w:p w14:paraId="78B3A1B7" w14:textId="645B6BD6" w:rsidR="00F2751A" w:rsidRPr="00F2751A" w:rsidRDefault="00F2751A" w:rsidP="001D5274">
      <w:pPr>
        <w:pStyle w:val="Paragrafoelenco"/>
        <w:numPr>
          <w:ilvl w:val="0"/>
          <w:numId w:val="15"/>
        </w:numPr>
        <w:spacing w:after="0" w:line="240" w:lineRule="auto"/>
        <w:jc w:val="both"/>
      </w:pPr>
      <w:r w:rsidRPr="00F2751A">
        <w:t>Le scritturazioni di carico sono effettuate con riferimento a ciascun DAS pervenuto entro le ore 09:00 del giorno seguente alla ricezione.</w:t>
      </w:r>
    </w:p>
    <w:p w14:paraId="1E4FEACF" w14:textId="3C4CC039" w:rsidR="00F2751A" w:rsidRPr="00F2751A" w:rsidRDefault="00F2751A" w:rsidP="001D5274">
      <w:pPr>
        <w:pStyle w:val="Paragrafoelenco"/>
        <w:numPr>
          <w:ilvl w:val="0"/>
          <w:numId w:val="15"/>
        </w:numPr>
        <w:spacing w:after="0" w:line="240" w:lineRule="auto"/>
        <w:jc w:val="both"/>
      </w:pPr>
      <w:r w:rsidRPr="00F2751A">
        <w:t xml:space="preserve">Le scritturazioni di scarico sono effettuate ogni sette giorni, cumulativamente per ciascun prodotto energetico contabilizzato. Per gli esercenti distributori minori (vale a dire quelli collegati a serbatori di capacità compresa tra 5 e 10 mc) muniti di totalizzatore è ammesso, per ciascun prodotto erogato, lo scarico cumulativo mensile sulla base dei dati del </w:t>
      </w:r>
      <w:proofErr w:type="gramStart"/>
      <w:r w:rsidRPr="00F2751A">
        <w:t>predetto</w:t>
      </w:r>
      <w:proofErr w:type="gramEnd"/>
      <w:r w:rsidRPr="00F2751A">
        <w:t xml:space="preserve"> strumento di misura.</w:t>
      </w:r>
    </w:p>
    <w:p w14:paraId="7AEFCE74" w14:textId="2FD2952B" w:rsidR="00F2751A" w:rsidRPr="00F2751A" w:rsidRDefault="00F2751A" w:rsidP="001D5274">
      <w:pPr>
        <w:pStyle w:val="Paragrafoelenco"/>
        <w:numPr>
          <w:ilvl w:val="0"/>
          <w:numId w:val="15"/>
        </w:numPr>
        <w:spacing w:after="0" w:line="240" w:lineRule="auto"/>
        <w:jc w:val="both"/>
      </w:pPr>
      <w:r w:rsidRPr="00F2751A">
        <w:t>Gli esercenti sono tenuti a trasmettere all’Ufficio delle Dogane competente tramite PEC un prospetto riepilogativo delle movimentazioni annuali, entro la fine del mese di febbraio dell’anno seguente a quello a cui il prospetto si riferisce. Il prospetto e la relativa nota di trasmissione all’Ufficio delle Dogane sono allegati alle contabilità dell’impianto.</w:t>
      </w:r>
    </w:p>
    <w:p w14:paraId="5CD02E60" w14:textId="49EE237F" w:rsidR="00F2751A" w:rsidRPr="00F2751A" w:rsidRDefault="00F2751A" w:rsidP="001D5274">
      <w:pPr>
        <w:pStyle w:val="Paragrafoelenco"/>
        <w:numPr>
          <w:ilvl w:val="0"/>
          <w:numId w:val="15"/>
        </w:numPr>
        <w:spacing w:after="0" w:line="240" w:lineRule="auto"/>
        <w:jc w:val="both"/>
      </w:pPr>
      <w:r w:rsidRPr="00F2751A">
        <w:t>In fase di verifica, il registro di carico e scarico e la relativa documentazione a corredo sono resi disponibili per i controlli dei funzionari dell’Agenzia delle dogane e dei monopoli e dei militari della Guardia di Finanza. La chiusura del registro di carico e scarico e le risultanze inventariali sono annotate dai verificatori nel verbale di verifica e sono successivamente riportate nel registro di carico e scarico a cura dell’esercente.</w:t>
      </w:r>
    </w:p>
    <w:p w14:paraId="39900AFE" w14:textId="221F31AF" w:rsidR="00F2751A" w:rsidRPr="00F2751A" w:rsidRDefault="00F2751A" w:rsidP="001D5274">
      <w:pPr>
        <w:pStyle w:val="Paragrafoelenco"/>
        <w:numPr>
          <w:ilvl w:val="0"/>
          <w:numId w:val="15"/>
        </w:numPr>
        <w:spacing w:after="0" w:line="240" w:lineRule="auto"/>
        <w:jc w:val="both"/>
      </w:pPr>
      <w:r w:rsidRPr="00F2751A">
        <w:t>Il registro carico e scarico e la relativa documentazione a corredo sono conservati presso l’impianto per i cinque anni successivi alla data di ultima scritturazione.</w:t>
      </w:r>
    </w:p>
    <w:p w14:paraId="202DD4D8" w14:textId="77777777" w:rsidR="001D5274" w:rsidRDefault="001D5274" w:rsidP="001D5274">
      <w:pPr>
        <w:ind w:left="142"/>
        <w:jc w:val="both"/>
        <w:rPr>
          <w:rFonts w:asciiTheme="minorHAnsi" w:hAnsiTheme="minorHAnsi"/>
          <w:sz w:val="22"/>
          <w:szCs w:val="22"/>
        </w:rPr>
      </w:pPr>
    </w:p>
    <w:p w14:paraId="66027E40" w14:textId="21C1BAF4" w:rsidR="00F2751A" w:rsidRPr="00F2751A" w:rsidRDefault="00F2751A" w:rsidP="001D5274">
      <w:pPr>
        <w:ind w:left="142"/>
        <w:jc w:val="both"/>
        <w:rPr>
          <w:rFonts w:asciiTheme="minorHAnsi" w:hAnsiTheme="minorHAnsi"/>
          <w:sz w:val="22"/>
          <w:szCs w:val="22"/>
        </w:rPr>
      </w:pPr>
      <w:r w:rsidRPr="00F2751A">
        <w:rPr>
          <w:rFonts w:asciiTheme="minorHAnsi" w:hAnsiTheme="minorHAnsi"/>
          <w:sz w:val="22"/>
          <w:szCs w:val="22"/>
        </w:rPr>
        <w:t>Per completezza di informazione, ANITA allega lo stralcio dell’art. 5 del provvedimento indicato in oggetto, nonché della determina in argomento.</w:t>
      </w:r>
    </w:p>
    <w:p w14:paraId="13D87118" w14:textId="71776003" w:rsidR="00F2751A" w:rsidRPr="00F2751A" w:rsidRDefault="00F2751A" w:rsidP="001D527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0BAB3912" w14:textId="42B92342" w:rsidR="00F2751A" w:rsidRPr="00F2751A" w:rsidRDefault="00F2751A" w:rsidP="001D527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538A6BE6" w14:textId="77777777" w:rsidR="00F2751A" w:rsidRPr="00F2751A" w:rsidRDefault="00F2751A" w:rsidP="001D527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08A147FE" w14:textId="2E537FD7" w:rsidR="00511A18" w:rsidRPr="00F2751A" w:rsidRDefault="00511A18" w:rsidP="001D527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  <w:bookmarkStart w:id="0" w:name="_GoBack"/>
      <w:bookmarkEnd w:id="0"/>
    </w:p>
    <w:p w14:paraId="545C2728" w14:textId="6E571161" w:rsidR="00511A18" w:rsidRPr="00F2751A" w:rsidRDefault="00511A18" w:rsidP="001D527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1D42AD01" w14:textId="21F3AF18" w:rsidR="00511A18" w:rsidRPr="00F2751A" w:rsidRDefault="00511A18" w:rsidP="001D527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1C90FA3F" w14:textId="00DD0427" w:rsidR="00511A18" w:rsidRPr="00F2751A" w:rsidRDefault="00511A18" w:rsidP="001D527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39F507A9" w14:textId="0833C0C8" w:rsidR="00511A18" w:rsidRPr="00F2751A" w:rsidRDefault="00511A18" w:rsidP="001D527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44776431" w14:textId="334B73BC" w:rsidR="00511A18" w:rsidRPr="00F2751A" w:rsidRDefault="00511A18" w:rsidP="001D527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70A3B528" w14:textId="77777777" w:rsidR="00511A18" w:rsidRPr="00F2751A" w:rsidRDefault="00511A18" w:rsidP="001D527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58C20922" w14:textId="44CCDF55" w:rsidR="008C1069" w:rsidRPr="00F2751A" w:rsidRDefault="008C1069" w:rsidP="001D527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F2751A">
        <w:rPr>
          <w:rFonts w:asciiTheme="minorHAnsi" w:hAnsiTheme="minorHAnsi" w:cs="Tahoma"/>
          <w:b/>
          <w:bCs/>
          <w:sz w:val="22"/>
          <w:szCs w:val="22"/>
        </w:rPr>
        <w:t>Riferimenti:</w:t>
      </w:r>
    </w:p>
    <w:p w14:paraId="26E5523E" w14:textId="77777777" w:rsidR="008C1069" w:rsidRPr="00F2751A" w:rsidRDefault="008C1069" w:rsidP="001D527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F2751A">
        <w:rPr>
          <w:rFonts w:asciiTheme="minorHAnsi" w:hAnsiTheme="minorHAnsi" w:cs="Tahoma"/>
          <w:sz w:val="22"/>
          <w:szCs w:val="22"/>
        </w:rPr>
        <w:t xml:space="preserve">Confindustria Umbria - Area Ambiente e Sicurezza – </w:t>
      </w:r>
      <w:hyperlink r:id="rId7" w:history="1">
        <w:r w:rsidRPr="00F2751A">
          <w:rPr>
            <w:rStyle w:val="Collegamentoipertestuale"/>
            <w:rFonts w:asciiTheme="minorHAnsi" w:hAnsiTheme="minorHAnsi" w:cs="Tahoma"/>
            <w:sz w:val="22"/>
            <w:szCs w:val="22"/>
          </w:rPr>
          <w:t>trasporti@confindustria.umbria.it</w:t>
        </w:r>
      </w:hyperlink>
    </w:p>
    <w:p w14:paraId="4690D5C9" w14:textId="77777777" w:rsidR="008C1069" w:rsidRPr="00F2751A" w:rsidRDefault="008C1069" w:rsidP="001D5274">
      <w:pPr>
        <w:autoSpaceDE w:val="0"/>
        <w:autoSpaceDN w:val="0"/>
        <w:adjustRightInd w:val="0"/>
        <w:ind w:left="142"/>
        <w:jc w:val="both"/>
        <w:rPr>
          <w:rFonts w:asciiTheme="minorHAnsi" w:hAnsiTheme="minorHAnsi" w:cs="Tahoma"/>
          <w:sz w:val="22"/>
          <w:szCs w:val="22"/>
        </w:rPr>
      </w:pPr>
      <w:r w:rsidRPr="00F2751A">
        <w:rPr>
          <w:rFonts w:asciiTheme="minorHAnsi" w:hAnsiTheme="minorHAnsi" w:cs="Tahoma"/>
          <w:sz w:val="22"/>
          <w:szCs w:val="22"/>
        </w:rPr>
        <w:t>Dott. Dominici Tel. 0744/443418 - Dott. Di Matteo Tel. 075/5820227</w:t>
      </w:r>
    </w:p>
    <w:p w14:paraId="1544B8E1" w14:textId="14247C41" w:rsidR="00E131C5" w:rsidRPr="00F2751A" w:rsidRDefault="00E131C5" w:rsidP="001D527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="Arial"/>
          <w:sz w:val="22"/>
          <w:szCs w:val="22"/>
        </w:rPr>
      </w:pPr>
    </w:p>
    <w:p w14:paraId="56BF7991" w14:textId="65F097CF" w:rsidR="002D5131" w:rsidRPr="00F2751A" w:rsidRDefault="002D5131" w:rsidP="001D527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</w:p>
    <w:p w14:paraId="234D82A4" w14:textId="5369B2C5" w:rsidR="001D535B" w:rsidRPr="00F2751A" w:rsidRDefault="001D535B" w:rsidP="001D527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</w:p>
    <w:p w14:paraId="18FC177F" w14:textId="1A1E1424" w:rsidR="00511A18" w:rsidRPr="00F2751A" w:rsidRDefault="00511A18" w:rsidP="001D527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</w:p>
    <w:p w14:paraId="0EF77AFA" w14:textId="473590C0" w:rsidR="00511A18" w:rsidRPr="00F2751A" w:rsidRDefault="00511A18" w:rsidP="001D527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</w:p>
    <w:p w14:paraId="6CFEFDF9" w14:textId="0D622CB3" w:rsidR="00511A18" w:rsidRPr="00F2751A" w:rsidRDefault="00511A18" w:rsidP="001D527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</w:p>
    <w:p w14:paraId="0A599098" w14:textId="77777777" w:rsidR="00511A18" w:rsidRPr="00F2751A" w:rsidRDefault="00511A18" w:rsidP="001D527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</w:p>
    <w:p w14:paraId="10D3A1D5" w14:textId="77777777" w:rsidR="00B872CD" w:rsidRPr="00F2751A" w:rsidRDefault="00B872CD" w:rsidP="001D527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</w:p>
    <w:p w14:paraId="6CFEE0C5" w14:textId="46FCF29E" w:rsidR="00FA09FD" w:rsidRPr="00F2751A" w:rsidRDefault="00FA09FD" w:rsidP="001D5274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="Arial"/>
          <w:sz w:val="22"/>
          <w:szCs w:val="22"/>
        </w:rPr>
      </w:pPr>
      <w:r w:rsidRPr="00F2751A">
        <w:rPr>
          <w:rFonts w:asciiTheme="minorHAnsi" w:hAnsiTheme="minorHAnsi" w:cs="Arial"/>
          <w:sz w:val="22"/>
          <w:szCs w:val="22"/>
        </w:rPr>
        <w:t xml:space="preserve">Pubblicata il </w:t>
      </w:r>
      <w:r w:rsidR="00051C34" w:rsidRPr="00F2751A">
        <w:rPr>
          <w:rFonts w:asciiTheme="minorHAnsi" w:hAnsiTheme="minorHAnsi" w:cs="Arial"/>
          <w:sz w:val="22"/>
          <w:szCs w:val="22"/>
        </w:rPr>
        <w:t>0</w:t>
      </w:r>
      <w:r w:rsidR="00FD69E4" w:rsidRPr="00F2751A">
        <w:rPr>
          <w:rFonts w:asciiTheme="minorHAnsi" w:hAnsiTheme="minorHAnsi" w:cs="Arial"/>
          <w:sz w:val="22"/>
          <w:szCs w:val="22"/>
        </w:rPr>
        <w:t>8</w:t>
      </w:r>
      <w:r w:rsidR="00051C34" w:rsidRPr="00F2751A">
        <w:rPr>
          <w:rFonts w:asciiTheme="minorHAnsi" w:hAnsiTheme="minorHAnsi" w:cs="Arial"/>
          <w:sz w:val="22"/>
          <w:szCs w:val="22"/>
        </w:rPr>
        <w:t>/01/2020</w:t>
      </w:r>
    </w:p>
    <w:sectPr w:rsidR="00FA09FD" w:rsidRPr="00F2751A" w:rsidSect="00EF461E">
      <w:headerReference w:type="first" r:id="rId8"/>
      <w:footerReference w:type="first" r:id="rId9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D780C" w14:textId="77777777" w:rsidR="00BA23CA" w:rsidRDefault="00BA23CA">
      <w:r>
        <w:separator/>
      </w:r>
    </w:p>
  </w:endnote>
  <w:endnote w:type="continuationSeparator" w:id="0">
    <w:p w14:paraId="1CAD5857" w14:textId="77777777" w:rsidR="00BA23CA" w:rsidRDefault="00BA2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0951B2" w14:textId="77777777" w:rsidR="00BA23CA" w:rsidRDefault="00BA23CA">
      <w:r>
        <w:separator/>
      </w:r>
    </w:p>
  </w:footnote>
  <w:footnote w:type="continuationSeparator" w:id="0">
    <w:p w14:paraId="7E4E6A9E" w14:textId="77777777" w:rsidR="00BA23CA" w:rsidRDefault="00BA2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10337"/>
    <w:multiLevelType w:val="hybridMultilevel"/>
    <w:tmpl w:val="E276567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2"/>
  </w:num>
  <w:num w:numId="5">
    <w:abstractNumId w:val="14"/>
  </w:num>
  <w:num w:numId="6">
    <w:abstractNumId w:val="3"/>
  </w:num>
  <w:num w:numId="7">
    <w:abstractNumId w:val="7"/>
  </w:num>
  <w:num w:numId="8">
    <w:abstractNumId w:val="11"/>
  </w:num>
  <w:num w:numId="9">
    <w:abstractNumId w:val="8"/>
  </w:num>
  <w:num w:numId="10">
    <w:abstractNumId w:val="4"/>
  </w:num>
  <w:num w:numId="11">
    <w:abstractNumId w:val="13"/>
  </w:num>
  <w:num w:numId="12">
    <w:abstractNumId w:val="6"/>
  </w:num>
  <w:num w:numId="13">
    <w:abstractNumId w:val="5"/>
  </w:num>
  <w:num w:numId="14">
    <w:abstractNumId w:val="10"/>
  </w:num>
  <w:num w:numId="1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97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418"/>
    <w:rsid w:val="00000911"/>
    <w:rsid w:val="000018C4"/>
    <w:rsid w:val="0000679D"/>
    <w:rsid w:val="00012D58"/>
    <w:rsid w:val="00014CFE"/>
    <w:rsid w:val="00015150"/>
    <w:rsid w:val="00015A06"/>
    <w:rsid w:val="00017F8A"/>
    <w:rsid w:val="00022C88"/>
    <w:rsid w:val="00031409"/>
    <w:rsid w:val="00031C9A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6625B"/>
    <w:rsid w:val="00067E67"/>
    <w:rsid w:val="00074106"/>
    <w:rsid w:val="00076E3E"/>
    <w:rsid w:val="00085286"/>
    <w:rsid w:val="0009034E"/>
    <w:rsid w:val="000903E8"/>
    <w:rsid w:val="00093B32"/>
    <w:rsid w:val="000A464B"/>
    <w:rsid w:val="000A47FE"/>
    <w:rsid w:val="000A66E5"/>
    <w:rsid w:val="000A711D"/>
    <w:rsid w:val="000B11E1"/>
    <w:rsid w:val="000B2CE3"/>
    <w:rsid w:val="000B6BA7"/>
    <w:rsid w:val="000B78E3"/>
    <w:rsid w:val="000B7C0F"/>
    <w:rsid w:val="000B7C86"/>
    <w:rsid w:val="000C0F7F"/>
    <w:rsid w:val="000C1232"/>
    <w:rsid w:val="000C2783"/>
    <w:rsid w:val="000C3208"/>
    <w:rsid w:val="000D0E46"/>
    <w:rsid w:val="000D1665"/>
    <w:rsid w:val="000D258E"/>
    <w:rsid w:val="000D3FED"/>
    <w:rsid w:val="000D60F4"/>
    <w:rsid w:val="000F3879"/>
    <w:rsid w:val="00100ED7"/>
    <w:rsid w:val="001031E9"/>
    <w:rsid w:val="00115A2B"/>
    <w:rsid w:val="0012199E"/>
    <w:rsid w:val="00121D8E"/>
    <w:rsid w:val="00123130"/>
    <w:rsid w:val="0013046D"/>
    <w:rsid w:val="0013516E"/>
    <w:rsid w:val="0013518B"/>
    <w:rsid w:val="00142577"/>
    <w:rsid w:val="00147E07"/>
    <w:rsid w:val="00151BDD"/>
    <w:rsid w:val="00156558"/>
    <w:rsid w:val="00162CFC"/>
    <w:rsid w:val="00174B4A"/>
    <w:rsid w:val="00175A85"/>
    <w:rsid w:val="00177767"/>
    <w:rsid w:val="0018111E"/>
    <w:rsid w:val="00184B48"/>
    <w:rsid w:val="001867E9"/>
    <w:rsid w:val="00187B99"/>
    <w:rsid w:val="00190AD1"/>
    <w:rsid w:val="00191BDF"/>
    <w:rsid w:val="001920C8"/>
    <w:rsid w:val="001A0EA6"/>
    <w:rsid w:val="001A326F"/>
    <w:rsid w:val="001A3F4A"/>
    <w:rsid w:val="001A5F97"/>
    <w:rsid w:val="001B0B61"/>
    <w:rsid w:val="001B6900"/>
    <w:rsid w:val="001B7ED8"/>
    <w:rsid w:val="001C016B"/>
    <w:rsid w:val="001C40EE"/>
    <w:rsid w:val="001D02EF"/>
    <w:rsid w:val="001D4E62"/>
    <w:rsid w:val="001D5274"/>
    <w:rsid w:val="001D535B"/>
    <w:rsid w:val="001D7618"/>
    <w:rsid w:val="001D7F3D"/>
    <w:rsid w:val="001E08BB"/>
    <w:rsid w:val="001E4FE6"/>
    <w:rsid w:val="001E720B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4FFA"/>
    <w:rsid w:val="00235BB7"/>
    <w:rsid w:val="002369AB"/>
    <w:rsid w:val="00237B46"/>
    <w:rsid w:val="00243355"/>
    <w:rsid w:val="00243A70"/>
    <w:rsid w:val="00251D4B"/>
    <w:rsid w:val="00254B89"/>
    <w:rsid w:val="00256DDA"/>
    <w:rsid w:val="00261EB5"/>
    <w:rsid w:val="00263DC8"/>
    <w:rsid w:val="00263ECC"/>
    <w:rsid w:val="00267AF5"/>
    <w:rsid w:val="002743A5"/>
    <w:rsid w:val="0027733B"/>
    <w:rsid w:val="002864AB"/>
    <w:rsid w:val="002878D5"/>
    <w:rsid w:val="00292A35"/>
    <w:rsid w:val="0029389C"/>
    <w:rsid w:val="002A070A"/>
    <w:rsid w:val="002A1E99"/>
    <w:rsid w:val="002B7EEB"/>
    <w:rsid w:val="002C6967"/>
    <w:rsid w:val="002D128B"/>
    <w:rsid w:val="002D1D07"/>
    <w:rsid w:val="002D3D96"/>
    <w:rsid w:val="002D5131"/>
    <w:rsid w:val="002E0AB5"/>
    <w:rsid w:val="002E1DC5"/>
    <w:rsid w:val="002E1E84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EF7"/>
    <w:rsid w:val="00313337"/>
    <w:rsid w:val="00314FAD"/>
    <w:rsid w:val="003170BA"/>
    <w:rsid w:val="00322A6F"/>
    <w:rsid w:val="003259B9"/>
    <w:rsid w:val="00326B28"/>
    <w:rsid w:val="0033105D"/>
    <w:rsid w:val="0033361D"/>
    <w:rsid w:val="00334062"/>
    <w:rsid w:val="003405C4"/>
    <w:rsid w:val="00343ACA"/>
    <w:rsid w:val="00350A0A"/>
    <w:rsid w:val="00355CF5"/>
    <w:rsid w:val="00363E3E"/>
    <w:rsid w:val="00366AF0"/>
    <w:rsid w:val="00366DB7"/>
    <w:rsid w:val="00376950"/>
    <w:rsid w:val="00376AC3"/>
    <w:rsid w:val="00381A37"/>
    <w:rsid w:val="00381EA8"/>
    <w:rsid w:val="00391B52"/>
    <w:rsid w:val="00392FD4"/>
    <w:rsid w:val="0039681E"/>
    <w:rsid w:val="003A376E"/>
    <w:rsid w:val="003A79EB"/>
    <w:rsid w:val="003B232D"/>
    <w:rsid w:val="003B2A5D"/>
    <w:rsid w:val="003B4D06"/>
    <w:rsid w:val="003B5C6C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10350"/>
    <w:rsid w:val="00416468"/>
    <w:rsid w:val="004166FC"/>
    <w:rsid w:val="00416739"/>
    <w:rsid w:val="004176D9"/>
    <w:rsid w:val="00422AFC"/>
    <w:rsid w:val="0042628C"/>
    <w:rsid w:val="004310C8"/>
    <w:rsid w:val="0043172E"/>
    <w:rsid w:val="004334F8"/>
    <w:rsid w:val="00434368"/>
    <w:rsid w:val="004367B1"/>
    <w:rsid w:val="00442941"/>
    <w:rsid w:val="00444823"/>
    <w:rsid w:val="004533F1"/>
    <w:rsid w:val="00453F9C"/>
    <w:rsid w:val="004545E4"/>
    <w:rsid w:val="00460490"/>
    <w:rsid w:val="004703A2"/>
    <w:rsid w:val="00472D2B"/>
    <w:rsid w:val="00473B65"/>
    <w:rsid w:val="00474617"/>
    <w:rsid w:val="0048380D"/>
    <w:rsid w:val="00484727"/>
    <w:rsid w:val="0049009F"/>
    <w:rsid w:val="00492040"/>
    <w:rsid w:val="00492B5B"/>
    <w:rsid w:val="00495AA2"/>
    <w:rsid w:val="004A1967"/>
    <w:rsid w:val="004A2834"/>
    <w:rsid w:val="004C2CC8"/>
    <w:rsid w:val="004C674B"/>
    <w:rsid w:val="004D0745"/>
    <w:rsid w:val="004D0D80"/>
    <w:rsid w:val="004D1867"/>
    <w:rsid w:val="004D48E8"/>
    <w:rsid w:val="004D4C6D"/>
    <w:rsid w:val="004D6689"/>
    <w:rsid w:val="004E0327"/>
    <w:rsid w:val="004E4D74"/>
    <w:rsid w:val="004E651F"/>
    <w:rsid w:val="004E6896"/>
    <w:rsid w:val="004F2ABA"/>
    <w:rsid w:val="004F6EDA"/>
    <w:rsid w:val="00500EA1"/>
    <w:rsid w:val="00511A18"/>
    <w:rsid w:val="00512035"/>
    <w:rsid w:val="00512468"/>
    <w:rsid w:val="00513E65"/>
    <w:rsid w:val="0051764A"/>
    <w:rsid w:val="00523407"/>
    <w:rsid w:val="00524EFB"/>
    <w:rsid w:val="00530CE2"/>
    <w:rsid w:val="00531CA4"/>
    <w:rsid w:val="005346F7"/>
    <w:rsid w:val="0053609D"/>
    <w:rsid w:val="0053678B"/>
    <w:rsid w:val="00541BC3"/>
    <w:rsid w:val="00544C14"/>
    <w:rsid w:val="005456CC"/>
    <w:rsid w:val="00550830"/>
    <w:rsid w:val="00555C30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4B1D"/>
    <w:rsid w:val="005858EE"/>
    <w:rsid w:val="00586269"/>
    <w:rsid w:val="00587A72"/>
    <w:rsid w:val="00594EA8"/>
    <w:rsid w:val="00597481"/>
    <w:rsid w:val="005A192E"/>
    <w:rsid w:val="005A29F4"/>
    <w:rsid w:val="005A5E55"/>
    <w:rsid w:val="005B0AAD"/>
    <w:rsid w:val="005B606F"/>
    <w:rsid w:val="005C51D8"/>
    <w:rsid w:val="005C760F"/>
    <w:rsid w:val="005D46EE"/>
    <w:rsid w:val="005E2816"/>
    <w:rsid w:val="005E458A"/>
    <w:rsid w:val="005E5DA8"/>
    <w:rsid w:val="005F4278"/>
    <w:rsid w:val="00606744"/>
    <w:rsid w:val="00607CBF"/>
    <w:rsid w:val="00621DA9"/>
    <w:rsid w:val="00624B5A"/>
    <w:rsid w:val="00632F96"/>
    <w:rsid w:val="00634F20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D6B"/>
    <w:rsid w:val="0065619B"/>
    <w:rsid w:val="00657B1A"/>
    <w:rsid w:val="00660F83"/>
    <w:rsid w:val="00670405"/>
    <w:rsid w:val="0067055C"/>
    <w:rsid w:val="0067483E"/>
    <w:rsid w:val="00677621"/>
    <w:rsid w:val="0068142C"/>
    <w:rsid w:val="00691D13"/>
    <w:rsid w:val="006A01F4"/>
    <w:rsid w:val="006A0AE9"/>
    <w:rsid w:val="006A30FE"/>
    <w:rsid w:val="006A528D"/>
    <w:rsid w:val="006B0391"/>
    <w:rsid w:val="006B1B03"/>
    <w:rsid w:val="006B1BBB"/>
    <w:rsid w:val="006B6715"/>
    <w:rsid w:val="006B7428"/>
    <w:rsid w:val="006C5530"/>
    <w:rsid w:val="006C6C8E"/>
    <w:rsid w:val="006D10EF"/>
    <w:rsid w:val="006D3209"/>
    <w:rsid w:val="006D7078"/>
    <w:rsid w:val="006D7D28"/>
    <w:rsid w:val="006E5B05"/>
    <w:rsid w:val="006F14A3"/>
    <w:rsid w:val="006F159B"/>
    <w:rsid w:val="00701962"/>
    <w:rsid w:val="007021CD"/>
    <w:rsid w:val="00706AB7"/>
    <w:rsid w:val="00716959"/>
    <w:rsid w:val="0071788E"/>
    <w:rsid w:val="00720E4A"/>
    <w:rsid w:val="00722AFA"/>
    <w:rsid w:val="00725DFF"/>
    <w:rsid w:val="0073518B"/>
    <w:rsid w:val="0074024E"/>
    <w:rsid w:val="00740910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817A1"/>
    <w:rsid w:val="007824AD"/>
    <w:rsid w:val="00782D77"/>
    <w:rsid w:val="00783E6E"/>
    <w:rsid w:val="00784FF1"/>
    <w:rsid w:val="00790738"/>
    <w:rsid w:val="007A1752"/>
    <w:rsid w:val="007A2C7C"/>
    <w:rsid w:val="007A7B0B"/>
    <w:rsid w:val="007B0324"/>
    <w:rsid w:val="007B0628"/>
    <w:rsid w:val="007B2520"/>
    <w:rsid w:val="007B3AA0"/>
    <w:rsid w:val="007B4FE7"/>
    <w:rsid w:val="007B72D4"/>
    <w:rsid w:val="007B7D2A"/>
    <w:rsid w:val="007C698A"/>
    <w:rsid w:val="007D1B92"/>
    <w:rsid w:val="007D7A85"/>
    <w:rsid w:val="007E0603"/>
    <w:rsid w:val="007E1EAD"/>
    <w:rsid w:val="007E5057"/>
    <w:rsid w:val="007E6FF8"/>
    <w:rsid w:val="007E7D8E"/>
    <w:rsid w:val="007F3972"/>
    <w:rsid w:val="007F61DB"/>
    <w:rsid w:val="00802472"/>
    <w:rsid w:val="0081114B"/>
    <w:rsid w:val="008127E1"/>
    <w:rsid w:val="00813BAD"/>
    <w:rsid w:val="00815CB3"/>
    <w:rsid w:val="00822FD9"/>
    <w:rsid w:val="00824701"/>
    <w:rsid w:val="00830EB0"/>
    <w:rsid w:val="008317A5"/>
    <w:rsid w:val="00836750"/>
    <w:rsid w:val="008433BB"/>
    <w:rsid w:val="00850549"/>
    <w:rsid w:val="00853B99"/>
    <w:rsid w:val="008624CD"/>
    <w:rsid w:val="0088152F"/>
    <w:rsid w:val="008828D8"/>
    <w:rsid w:val="00884E03"/>
    <w:rsid w:val="00885913"/>
    <w:rsid w:val="0088738D"/>
    <w:rsid w:val="008878E3"/>
    <w:rsid w:val="00892040"/>
    <w:rsid w:val="00895D5A"/>
    <w:rsid w:val="008A4AA1"/>
    <w:rsid w:val="008A51D5"/>
    <w:rsid w:val="008A559C"/>
    <w:rsid w:val="008A5F76"/>
    <w:rsid w:val="008A6BD8"/>
    <w:rsid w:val="008B4111"/>
    <w:rsid w:val="008B4820"/>
    <w:rsid w:val="008B79BC"/>
    <w:rsid w:val="008C1069"/>
    <w:rsid w:val="008C32CD"/>
    <w:rsid w:val="008C54AE"/>
    <w:rsid w:val="008C6FB9"/>
    <w:rsid w:val="008D2770"/>
    <w:rsid w:val="008E2DCC"/>
    <w:rsid w:val="008E731C"/>
    <w:rsid w:val="008E7E36"/>
    <w:rsid w:val="008F179C"/>
    <w:rsid w:val="008F1C06"/>
    <w:rsid w:val="008F28C1"/>
    <w:rsid w:val="008F3959"/>
    <w:rsid w:val="008F7B14"/>
    <w:rsid w:val="00902B38"/>
    <w:rsid w:val="0090616B"/>
    <w:rsid w:val="00911219"/>
    <w:rsid w:val="00914796"/>
    <w:rsid w:val="00914BC8"/>
    <w:rsid w:val="00915E60"/>
    <w:rsid w:val="00923DFD"/>
    <w:rsid w:val="00927143"/>
    <w:rsid w:val="009365B8"/>
    <w:rsid w:val="009401CD"/>
    <w:rsid w:val="009431DB"/>
    <w:rsid w:val="00952818"/>
    <w:rsid w:val="00952E48"/>
    <w:rsid w:val="00957C7D"/>
    <w:rsid w:val="00961CD5"/>
    <w:rsid w:val="0096229E"/>
    <w:rsid w:val="00967EB0"/>
    <w:rsid w:val="00972881"/>
    <w:rsid w:val="00980756"/>
    <w:rsid w:val="0099127D"/>
    <w:rsid w:val="00991709"/>
    <w:rsid w:val="00993CEA"/>
    <w:rsid w:val="009A1912"/>
    <w:rsid w:val="009A3967"/>
    <w:rsid w:val="009A3DAF"/>
    <w:rsid w:val="009B2618"/>
    <w:rsid w:val="009B33F9"/>
    <w:rsid w:val="009B68D8"/>
    <w:rsid w:val="009C0D76"/>
    <w:rsid w:val="009C144D"/>
    <w:rsid w:val="009C20F3"/>
    <w:rsid w:val="009C39C6"/>
    <w:rsid w:val="009D26C3"/>
    <w:rsid w:val="009D4308"/>
    <w:rsid w:val="009D434D"/>
    <w:rsid w:val="009D4D86"/>
    <w:rsid w:val="009D585F"/>
    <w:rsid w:val="009D59C3"/>
    <w:rsid w:val="009E1885"/>
    <w:rsid w:val="009E1B7C"/>
    <w:rsid w:val="009E47B9"/>
    <w:rsid w:val="009E7085"/>
    <w:rsid w:val="009E718E"/>
    <w:rsid w:val="009F195B"/>
    <w:rsid w:val="009F1995"/>
    <w:rsid w:val="009F2C5C"/>
    <w:rsid w:val="009F3F5A"/>
    <w:rsid w:val="009F5BE4"/>
    <w:rsid w:val="009F71A5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267E"/>
    <w:rsid w:val="00A32795"/>
    <w:rsid w:val="00A35E9C"/>
    <w:rsid w:val="00A40C8D"/>
    <w:rsid w:val="00A41BC3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FB4"/>
    <w:rsid w:val="00A6277C"/>
    <w:rsid w:val="00A65906"/>
    <w:rsid w:val="00A675C0"/>
    <w:rsid w:val="00A730D8"/>
    <w:rsid w:val="00A8200F"/>
    <w:rsid w:val="00A86D9E"/>
    <w:rsid w:val="00AA1828"/>
    <w:rsid w:val="00AB09E7"/>
    <w:rsid w:val="00AB4A29"/>
    <w:rsid w:val="00AB5056"/>
    <w:rsid w:val="00AC4EC4"/>
    <w:rsid w:val="00AC5188"/>
    <w:rsid w:val="00AC5B79"/>
    <w:rsid w:val="00AC77EF"/>
    <w:rsid w:val="00AD0111"/>
    <w:rsid w:val="00AD5342"/>
    <w:rsid w:val="00AE67ED"/>
    <w:rsid w:val="00AF303A"/>
    <w:rsid w:val="00AF42B8"/>
    <w:rsid w:val="00AF6A90"/>
    <w:rsid w:val="00B010C0"/>
    <w:rsid w:val="00B01369"/>
    <w:rsid w:val="00B027C9"/>
    <w:rsid w:val="00B03F64"/>
    <w:rsid w:val="00B06254"/>
    <w:rsid w:val="00B076BA"/>
    <w:rsid w:val="00B10455"/>
    <w:rsid w:val="00B152C7"/>
    <w:rsid w:val="00B164DF"/>
    <w:rsid w:val="00B20F3A"/>
    <w:rsid w:val="00B2675D"/>
    <w:rsid w:val="00B26B96"/>
    <w:rsid w:val="00B27027"/>
    <w:rsid w:val="00B27B4F"/>
    <w:rsid w:val="00B3123C"/>
    <w:rsid w:val="00B37734"/>
    <w:rsid w:val="00B40ABB"/>
    <w:rsid w:val="00B425C9"/>
    <w:rsid w:val="00B43AC8"/>
    <w:rsid w:val="00B45F25"/>
    <w:rsid w:val="00B476A3"/>
    <w:rsid w:val="00B50B8C"/>
    <w:rsid w:val="00B52C94"/>
    <w:rsid w:val="00B55997"/>
    <w:rsid w:val="00B602F5"/>
    <w:rsid w:val="00B61D0C"/>
    <w:rsid w:val="00B67B27"/>
    <w:rsid w:val="00B67D14"/>
    <w:rsid w:val="00B80122"/>
    <w:rsid w:val="00B85B42"/>
    <w:rsid w:val="00B86A1D"/>
    <w:rsid w:val="00B872CD"/>
    <w:rsid w:val="00B90553"/>
    <w:rsid w:val="00B92C4C"/>
    <w:rsid w:val="00B93351"/>
    <w:rsid w:val="00B9442C"/>
    <w:rsid w:val="00B94EBE"/>
    <w:rsid w:val="00B9787B"/>
    <w:rsid w:val="00B97A78"/>
    <w:rsid w:val="00BA23CA"/>
    <w:rsid w:val="00BA572A"/>
    <w:rsid w:val="00BB2068"/>
    <w:rsid w:val="00BB222B"/>
    <w:rsid w:val="00BB3AFB"/>
    <w:rsid w:val="00BB5371"/>
    <w:rsid w:val="00BB7D4D"/>
    <w:rsid w:val="00BC1DBB"/>
    <w:rsid w:val="00BC352B"/>
    <w:rsid w:val="00BC42DE"/>
    <w:rsid w:val="00BC4801"/>
    <w:rsid w:val="00BC491F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67A4"/>
    <w:rsid w:val="00C02FEE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33F0"/>
    <w:rsid w:val="00C33685"/>
    <w:rsid w:val="00C37195"/>
    <w:rsid w:val="00C4203C"/>
    <w:rsid w:val="00C44828"/>
    <w:rsid w:val="00C51357"/>
    <w:rsid w:val="00C5246D"/>
    <w:rsid w:val="00C559F5"/>
    <w:rsid w:val="00C61786"/>
    <w:rsid w:val="00C6213F"/>
    <w:rsid w:val="00C62C05"/>
    <w:rsid w:val="00C62E67"/>
    <w:rsid w:val="00C630F4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A5FB4"/>
    <w:rsid w:val="00CA7173"/>
    <w:rsid w:val="00CB1898"/>
    <w:rsid w:val="00CB7ED3"/>
    <w:rsid w:val="00CC42BA"/>
    <w:rsid w:val="00CC65FE"/>
    <w:rsid w:val="00CC77DE"/>
    <w:rsid w:val="00CD58FA"/>
    <w:rsid w:val="00CE39D3"/>
    <w:rsid w:val="00CF41FF"/>
    <w:rsid w:val="00CF4B21"/>
    <w:rsid w:val="00CF5FB8"/>
    <w:rsid w:val="00D024F3"/>
    <w:rsid w:val="00D061EC"/>
    <w:rsid w:val="00D06A84"/>
    <w:rsid w:val="00D117B3"/>
    <w:rsid w:val="00D12F9A"/>
    <w:rsid w:val="00D13D47"/>
    <w:rsid w:val="00D17CBA"/>
    <w:rsid w:val="00D21301"/>
    <w:rsid w:val="00D222D3"/>
    <w:rsid w:val="00D239FA"/>
    <w:rsid w:val="00D32570"/>
    <w:rsid w:val="00D42C10"/>
    <w:rsid w:val="00D43101"/>
    <w:rsid w:val="00D456FB"/>
    <w:rsid w:val="00D5002E"/>
    <w:rsid w:val="00D5288F"/>
    <w:rsid w:val="00D61B2B"/>
    <w:rsid w:val="00D62014"/>
    <w:rsid w:val="00D62F12"/>
    <w:rsid w:val="00D64BC5"/>
    <w:rsid w:val="00D70067"/>
    <w:rsid w:val="00D72432"/>
    <w:rsid w:val="00D81C19"/>
    <w:rsid w:val="00D82637"/>
    <w:rsid w:val="00D82779"/>
    <w:rsid w:val="00D82F54"/>
    <w:rsid w:val="00D85E80"/>
    <w:rsid w:val="00D866DD"/>
    <w:rsid w:val="00D96A53"/>
    <w:rsid w:val="00D97A6E"/>
    <w:rsid w:val="00DA076B"/>
    <w:rsid w:val="00DA0DC7"/>
    <w:rsid w:val="00DA4A1A"/>
    <w:rsid w:val="00DB29D5"/>
    <w:rsid w:val="00DB2C3D"/>
    <w:rsid w:val="00DC0ED4"/>
    <w:rsid w:val="00DC337A"/>
    <w:rsid w:val="00DC4356"/>
    <w:rsid w:val="00DC658D"/>
    <w:rsid w:val="00DC71FE"/>
    <w:rsid w:val="00DD1AAF"/>
    <w:rsid w:val="00DD1BF2"/>
    <w:rsid w:val="00DD5143"/>
    <w:rsid w:val="00DE4F13"/>
    <w:rsid w:val="00DF0987"/>
    <w:rsid w:val="00DF1400"/>
    <w:rsid w:val="00DF1E58"/>
    <w:rsid w:val="00DF20BC"/>
    <w:rsid w:val="00E01359"/>
    <w:rsid w:val="00E03093"/>
    <w:rsid w:val="00E101E7"/>
    <w:rsid w:val="00E131C5"/>
    <w:rsid w:val="00E20570"/>
    <w:rsid w:val="00E22349"/>
    <w:rsid w:val="00E30506"/>
    <w:rsid w:val="00E36C38"/>
    <w:rsid w:val="00E40217"/>
    <w:rsid w:val="00E404E3"/>
    <w:rsid w:val="00E45294"/>
    <w:rsid w:val="00E4622B"/>
    <w:rsid w:val="00E5154F"/>
    <w:rsid w:val="00E52784"/>
    <w:rsid w:val="00E53B7E"/>
    <w:rsid w:val="00E541C3"/>
    <w:rsid w:val="00E55E46"/>
    <w:rsid w:val="00E57970"/>
    <w:rsid w:val="00E6586E"/>
    <w:rsid w:val="00E71003"/>
    <w:rsid w:val="00E71463"/>
    <w:rsid w:val="00E71CEB"/>
    <w:rsid w:val="00E72283"/>
    <w:rsid w:val="00E74CD5"/>
    <w:rsid w:val="00E75519"/>
    <w:rsid w:val="00E763C8"/>
    <w:rsid w:val="00E77790"/>
    <w:rsid w:val="00E7791A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7E08"/>
    <w:rsid w:val="00EA2925"/>
    <w:rsid w:val="00EA4465"/>
    <w:rsid w:val="00EA6C54"/>
    <w:rsid w:val="00EB0A18"/>
    <w:rsid w:val="00EB1051"/>
    <w:rsid w:val="00EB2934"/>
    <w:rsid w:val="00EB3E71"/>
    <w:rsid w:val="00EB56F2"/>
    <w:rsid w:val="00EB5BB3"/>
    <w:rsid w:val="00EC0D5D"/>
    <w:rsid w:val="00EC375E"/>
    <w:rsid w:val="00EC3CE6"/>
    <w:rsid w:val="00ED09FF"/>
    <w:rsid w:val="00ED233A"/>
    <w:rsid w:val="00ED2B2A"/>
    <w:rsid w:val="00ED424D"/>
    <w:rsid w:val="00ED575A"/>
    <w:rsid w:val="00EF2630"/>
    <w:rsid w:val="00EF31A6"/>
    <w:rsid w:val="00EF461E"/>
    <w:rsid w:val="00EF4C6A"/>
    <w:rsid w:val="00F01340"/>
    <w:rsid w:val="00F13FA5"/>
    <w:rsid w:val="00F14795"/>
    <w:rsid w:val="00F166F4"/>
    <w:rsid w:val="00F16711"/>
    <w:rsid w:val="00F22431"/>
    <w:rsid w:val="00F22F40"/>
    <w:rsid w:val="00F23D65"/>
    <w:rsid w:val="00F24FB7"/>
    <w:rsid w:val="00F27339"/>
    <w:rsid w:val="00F2751A"/>
    <w:rsid w:val="00F27AA6"/>
    <w:rsid w:val="00F30BA5"/>
    <w:rsid w:val="00F32D76"/>
    <w:rsid w:val="00F34F0E"/>
    <w:rsid w:val="00F41A87"/>
    <w:rsid w:val="00F43AC7"/>
    <w:rsid w:val="00F4663F"/>
    <w:rsid w:val="00F50044"/>
    <w:rsid w:val="00F57A56"/>
    <w:rsid w:val="00F61B38"/>
    <w:rsid w:val="00F633F0"/>
    <w:rsid w:val="00F70E1C"/>
    <w:rsid w:val="00F74B11"/>
    <w:rsid w:val="00F84C9A"/>
    <w:rsid w:val="00F85B9A"/>
    <w:rsid w:val="00F862EA"/>
    <w:rsid w:val="00F9238F"/>
    <w:rsid w:val="00F95509"/>
    <w:rsid w:val="00F9565C"/>
    <w:rsid w:val="00FA044A"/>
    <w:rsid w:val="00FA09FD"/>
    <w:rsid w:val="00FA0C5F"/>
    <w:rsid w:val="00FA1372"/>
    <w:rsid w:val="00FA3C29"/>
    <w:rsid w:val="00FA565C"/>
    <w:rsid w:val="00FA5A48"/>
    <w:rsid w:val="00FB228E"/>
    <w:rsid w:val="00FB2EA5"/>
    <w:rsid w:val="00FC11FE"/>
    <w:rsid w:val="00FC1C6C"/>
    <w:rsid w:val="00FC2D0F"/>
    <w:rsid w:val="00FC6CB9"/>
    <w:rsid w:val="00FC786F"/>
    <w:rsid w:val="00FD11EF"/>
    <w:rsid w:val="00FD3152"/>
    <w:rsid w:val="00FD4C30"/>
    <w:rsid w:val="00FD69E4"/>
    <w:rsid w:val="00FE5149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7313"/>
    <o:shapelayout v:ext="edit">
      <o:idmap v:ext="edit" data="1"/>
    </o:shapelayout>
  </w:shapeDefaults>
  <w:decimalSymbol w:val=","/>
  <w:listSeparator w:val=";"/>
  <w14:docId w14:val="3143D95D"/>
  <w15:docId w15:val="{1E831592-FACA-4280-AF53-9901B55E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asporti@confindustria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Generale.dotx</Template>
  <TotalTime>2</TotalTime>
  <Pages>2</Pages>
  <Words>606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Maria Cappellazzo</dc:creator>
  <cp:lastModifiedBy>Cristina Malfagia</cp:lastModifiedBy>
  <cp:revision>4</cp:revision>
  <cp:lastPrinted>2019-12-30T11:26:00Z</cp:lastPrinted>
  <dcterms:created xsi:type="dcterms:W3CDTF">2020-01-08T14:45:00Z</dcterms:created>
  <dcterms:modified xsi:type="dcterms:W3CDTF">2020-01-08T14:47:00Z</dcterms:modified>
</cp:coreProperties>
</file>