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2397D" w14:textId="5F1E4DD3" w:rsidR="00C43191" w:rsidRDefault="0033078C" w:rsidP="00CA5F1B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078C">
        <w:rPr>
          <w:rFonts w:asciiTheme="minorHAnsi" w:hAnsiTheme="minorHAnsi" w:cstheme="minorHAnsi"/>
          <w:b/>
          <w:bCs/>
          <w:sz w:val="22"/>
          <w:szCs w:val="22"/>
        </w:rPr>
        <w:t>Conversione DL Liquidità: modifiche introdotte per finanziamenti garantiti da Fondo Centrale di Garanzia</w:t>
      </w:r>
      <w:r w:rsidR="00AA0957">
        <w:rPr>
          <w:rFonts w:asciiTheme="minorHAnsi" w:hAnsiTheme="minorHAnsi" w:cstheme="minorHAnsi"/>
          <w:b/>
          <w:bCs/>
          <w:noProof/>
          <w:sz w:val="22"/>
          <w:szCs w:val="22"/>
        </w:rPr>
        <w:pict w14:anchorId="736416A7">
          <v:shape id="Segno di sottrazione 5" o:spid="_x0000_s1026" style="position:absolute;left:0;text-align:left;margin-left:-73.75pt;margin-top:-24pt;width:599.25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c5fwIAAAoFAAAOAAAAZHJzL2Uyb0RvYy54bWysVE1v2zAMvQ/YfxB0X+1kSdMGdYqsQYYB&#10;XVsgHXpmZNkWIIuapMTpfv0o2WnTbqdhOSik+CU+Pvrq+tBqtpfOKzQFH53lnEkjsFSmLviPx/Wn&#10;C858AFOCRiML/iw9v158/HDV2bkcY4O6lI5REuPnnS14E4KdZ5kXjWzBn6GVhowVuhYCqa7OSgcd&#10;ZW91Ns7z86xDV1qHQnpPt6veyBcpf1VJEe6rysvAdMHpbSGdLp3beGaLK5jXDmyjxPAM+IdXtKAM&#10;FX1JtYIAbOfUH6laJRx6rMKZwDbDqlJCph6om1H+rptNA1amXggcb19g8v8vrbjbPzimyoJPOTPQ&#10;0og2sjbISsU8huDgF01WsmlEqrN+TgEb++AGzZMY2z5Uro3/1BA7JHSfX9CVh8AEXc7OR/lkRmUE&#10;2SbT2egy5sxeg63z4avElkWh4DTx5rsyO5+Ahf2tD73/0S8W9KhVuVZaJ8XV2xvt2B5o2uN8+vly&#10;MpR446YN64ir41lOjBBArKs0BBJbSzh4U3MGuiY6i+BS7TfR/rTIZH0x+rLqnRooZV96mtPvWLl3&#10;T42+yRO7WIFv+pBkGkK0ic3IxN6h6Yh8j3WUtlg+09Qc9nT2VqwVZbsFHx7AEX+pL9rJcE9HpZGa&#10;xUHirEH362/30Z9oRVbOOtoHAuLnDpzkTH8zRLjL0WQSFygpNL0xKe7Usj21mF17gzSEEW2/FUmM&#10;/kEfxcph+0Sru4xVyQRGUO0e8kG5Cf2e0vILuVwmN1oaC+HWbKyIySNOEcfHwxM4O/AmEOHu8Lg7&#10;MH/HnN43Rhpc7gJWKtHqFVcaVVRo4dLQho9D3OhTPXm9fsIWvwEAAP//AwBQSwMEFAAGAAgAAAAh&#10;AOkWlHvfAAAADQEAAA8AAABkcnMvZG93bnJldi54bWxMj8FugzAQRO+V+g/WVuqlSgwttIRioqpS&#10;VPVY6Ac42MEoeE2wScjfdzk1t9nd0eybYjvbnp316DuHAuJ1BExj41SHrYDferfKgPkgUcneoRZw&#10;1R625f1dIXPlLvijz1VoGYWgz6UAE8KQc+4bo630azdopNvBjVYGGseWq1FeKNz2/DmKXrmVHdIH&#10;Iwf9aXRzrCYr4FR/m2P/Uj9N8ppgdfoKqd9thHh8mD/egQU9h38zLPiEDiUx7d2EyrNewCpO3lLy&#10;kkoyarVYojQmtV9WUQa8LPhti/IPAAD//wMAUEsBAi0AFAAGAAgAAAAhALaDOJL+AAAA4QEAABMA&#10;AAAAAAAAAAAAAAAAAAAAAFtDb250ZW50X1R5cGVzXS54bWxQSwECLQAUAAYACAAAACEAOP0h/9YA&#10;AACUAQAACwAAAAAAAAAAAAAAAAAvAQAAX3JlbHMvLnJlbHNQSwECLQAUAAYACAAAACEAAEx3OX8C&#10;AAAKBQAADgAAAAAAAAAAAAAAAAAuAgAAZHJzL2Uyb0RvYy54bWxQSwECLQAUAAYACAAAACEA6RaU&#10;e98AAAANAQAADwAAAAAAAAAAAAAAAADZBAAAZHJzL2Rvd25yZXYueG1sUEsFBgAAAAAEAAQA8wAA&#10;AOUFAAAAAA==&#10;" path="m1008768,17483r5592939,l6601707,28236r-5592939,l1008768,17483xe" fillcolor="#205394" strokecolor="#385d8a" strokeweight="1pt">
            <v:path arrowok="t" o:connecttype="custom" o:connectlocs="1008768,17483;6601707,17483;6601707,28236;1008768,28236;1008768,17483" o:connectangles="0,0,0,0,0"/>
          </v:shape>
        </w:pict>
      </w:r>
    </w:p>
    <w:p w14:paraId="174B93B7" w14:textId="496E8D2D" w:rsidR="005D213F" w:rsidRDefault="005D213F" w:rsidP="00CA5F1B">
      <w:pPr>
        <w:tabs>
          <w:tab w:val="left" w:pos="720"/>
          <w:tab w:val="left" w:pos="900"/>
          <w:tab w:val="left" w:pos="126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2899B6" w14:textId="472B55CD" w:rsidR="006A77B4" w:rsidRDefault="0033078C" w:rsidP="004F31DC">
      <w:pPr>
        <w:shd w:val="clear" w:color="auto" w:fill="FFFFFF"/>
        <w:ind w:right="15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sz w:val="22"/>
          <w:szCs w:val="22"/>
        </w:rPr>
        <w:t>Aggiornamenti sulle nuove regole</w:t>
      </w:r>
    </w:p>
    <w:p w14:paraId="64878238" w14:textId="77777777" w:rsidR="0033078C" w:rsidRDefault="0033078C" w:rsidP="004F31DC">
      <w:pPr>
        <w:shd w:val="clear" w:color="auto" w:fill="FFFFFF"/>
        <w:ind w:right="150"/>
        <w:rPr>
          <w:rFonts w:asciiTheme="minorHAnsi" w:hAnsiTheme="minorHAnsi" w:cstheme="minorHAnsi"/>
          <w:sz w:val="22"/>
          <w:szCs w:val="22"/>
        </w:rPr>
      </w:pPr>
    </w:p>
    <w:p w14:paraId="1A0CF695" w14:textId="77777777" w:rsidR="0033078C" w:rsidRPr="0033078C" w:rsidRDefault="0033078C" w:rsidP="0033078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sz w:val="22"/>
          <w:szCs w:val="22"/>
        </w:rPr>
        <w:t>Nella Gazzetta Ufficiale n. 143 del 6 giugno 2020 è stata pubblicata la Legge 5 giugno 2020 n. 40 di conversione del Decreto Liquidità.</w:t>
      </w:r>
    </w:p>
    <w:p w14:paraId="7E5C6D3E" w14:textId="212DF6D9" w:rsidR="0033078C" w:rsidRPr="0033078C" w:rsidRDefault="0033078C" w:rsidP="0033078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sz w:val="22"/>
          <w:szCs w:val="22"/>
        </w:rPr>
        <w:t>Di seguito alcune delle modifiche introdotte</w:t>
      </w:r>
      <w:r>
        <w:rPr>
          <w:rFonts w:asciiTheme="minorHAnsi" w:hAnsiTheme="minorHAnsi" w:cstheme="minorHAnsi"/>
          <w:sz w:val="22"/>
          <w:szCs w:val="22"/>
        </w:rPr>
        <w:t xml:space="preserve"> in tema di finanziamenti garantiti</w:t>
      </w:r>
      <w:r w:rsidRPr="0033078C">
        <w:rPr>
          <w:rFonts w:asciiTheme="minorHAnsi" w:hAnsiTheme="minorHAnsi" w:cstheme="minorHAnsi"/>
          <w:sz w:val="22"/>
          <w:szCs w:val="22"/>
        </w:rPr>
        <w:t>, che ampliano le caratteristiche delle misure previste dal DL Liquidità.</w:t>
      </w:r>
    </w:p>
    <w:p w14:paraId="3AD7EFCA" w14:textId="77777777" w:rsidR="0033078C" w:rsidRPr="0033078C" w:rsidRDefault="0033078C" w:rsidP="0033078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sz w:val="22"/>
          <w:szCs w:val="22"/>
        </w:rPr>
        <w:t>L’applicazione di tali provvedimenti è subordinata all’approvazione delle modifiche da parte della Commissione europea e alla pubblicazione di una relativa circolare da parte del Gestore.</w:t>
      </w:r>
    </w:p>
    <w:p w14:paraId="0916F36D" w14:textId="2D088A43" w:rsidR="0033078C" w:rsidRPr="0033078C" w:rsidRDefault="0033078C" w:rsidP="0033078C">
      <w:pPr>
        <w:shd w:val="clear" w:color="auto" w:fill="FFFFFF"/>
        <w:spacing w:before="12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b/>
          <w:sz w:val="22"/>
          <w:szCs w:val="22"/>
        </w:rPr>
        <w:t>Per le garanzie dirette fino al 100% (Art. 13 m)</w:t>
      </w:r>
      <w:r w:rsidRPr="0033078C">
        <w:rPr>
          <w:rFonts w:asciiTheme="minorHAnsi" w:hAnsiTheme="minorHAnsi" w:cstheme="minorHAnsi"/>
          <w:sz w:val="22"/>
          <w:szCs w:val="22"/>
        </w:rPr>
        <w:t xml:space="preserve"> la misura prevede il rilascio da parte del Fondo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3078C">
        <w:rPr>
          <w:rFonts w:asciiTheme="minorHAnsi" w:hAnsiTheme="minorHAnsi" w:cstheme="minorHAnsi"/>
          <w:sz w:val="22"/>
          <w:szCs w:val="22"/>
        </w:rPr>
        <w:t xml:space="preserve"> di una </w:t>
      </w:r>
      <w:r w:rsidRPr="0033078C">
        <w:rPr>
          <w:rFonts w:asciiTheme="minorHAnsi" w:hAnsiTheme="minorHAnsi" w:cstheme="minorHAnsi"/>
          <w:bCs/>
          <w:sz w:val="22"/>
          <w:szCs w:val="22"/>
        </w:rPr>
        <w:t xml:space="preserve">garanzia gratuita </w:t>
      </w:r>
      <w:r w:rsidRPr="0033078C">
        <w:rPr>
          <w:rFonts w:asciiTheme="minorHAnsi" w:hAnsiTheme="minorHAnsi" w:cstheme="minorHAnsi"/>
          <w:sz w:val="22"/>
          <w:szCs w:val="22"/>
        </w:rPr>
        <w:t>sui nuovi finanziamenti concessi in favore delle PMI e di persone fisiche esercenti attività di impresa, arti o professioni la cui attività sia stata danneggiata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3078C">
        <w:rPr>
          <w:rFonts w:asciiTheme="minorHAnsi" w:hAnsiTheme="minorHAnsi" w:cstheme="minorHAnsi"/>
          <w:sz w:val="22"/>
          <w:szCs w:val="22"/>
        </w:rPr>
        <w:t>dall'emergenza COVID-19.</w:t>
      </w:r>
    </w:p>
    <w:p w14:paraId="5085444F" w14:textId="77777777" w:rsidR="0033078C" w:rsidRPr="0033078C" w:rsidRDefault="0033078C" w:rsidP="0033078C">
      <w:pPr>
        <w:shd w:val="clear" w:color="auto" w:fill="FFFFFF"/>
        <w:spacing w:before="12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sz w:val="22"/>
          <w:szCs w:val="22"/>
        </w:rPr>
        <w:t>Il finanziamento richiesto deve avere le seguenti caratteristiche:</w:t>
      </w:r>
    </w:p>
    <w:p w14:paraId="239A6EE1" w14:textId="1E357394" w:rsidR="0033078C" w:rsidRPr="0033078C" w:rsidRDefault="0033078C" w:rsidP="0033078C">
      <w:pPr>
        <w:numPr>
          <w:ilvl w:val="0"/>
          <w:numId w:val="49"/>
        </w:numPr>
        <w:shd w:val="clear" w:color="auto" w:fill="FFFFFF"/>
        <w:spacing w:before="120"/>
        <w:ind w:left="48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bCs/>
          <w:sz w:val="22"/>
          <w:szCs w:val="22"/>
        </w:rPr>
        <w:t xml:space="preserve">importo non superiore al 25% dei ricavi </w:t>
      </w:r>
      <w:r w:rsidRPr="0033078C">
        <w:rPr>
          <w:rFonts w:asciiTheme="minorHAnsi" w:hAnsiTheme="minorHAnsi" w:cstheme="minorHAnsi"/>
          <w:sz w:val="22"/>
          <w:szCs w:val="22"/>
        </w:rPr>
        <w:t>o al doppio del costo del personale risultant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33078C">
        <w:rPr>
          <w:rFonts w:asciiTheme="minorHAnsi" w:hAnsiTheme="minorHAnsi" w:cstheme="minorHAnsi"/>
          <w:sz w:val="22"/>
          <w:szCs w:val="22"/>
        </w:rPr>
        <w:t>dall’ultimo bilancio o ultima dichiarazione, </w:t>
      </w:r>
      <w:r w:rsidRPr="0033078C">
        <w:rPr>
          <w:rFonts w:asciiTheme="minorHAnsi" w:hAnsiTheme="minorHAnsi" w:cstheme="minorHAnsi"/>
          <w:bCs/>
          <w:sz w:val="22"/>
          <w:szCs w:val="22"/>
        </w:rPr>
        <w:t>fino a un massimo di</w:t>
      </w:r>
      <w:r w:rsidRPr="0033078C">
        <w:rPr>
          <w:rFonts w:asciiTheme="minorHAnsi" w:hAnsiTheme="minorHAnsi" w:cstheme="minorHAnsi"/>
          <w:b/>
          <w:bCs/>
          <w:sz w:val="22"/>
          <w:szCs w:val="22"/>
        </w:rPr>
        <w:t xml:space="preserve"> € 30.000 </w:t>
      </w:r>
      <w:r w:rsidRPr="0033078C">
        <w:rPr>
          <w:rFonts w:asciiTheme="minorHAnsi" w:hAnsiTheme="minorHAnsi" w:cstheme="minorHAnsi"/>
          <w:sz w:val="22"/>
          <w:szCs w:val="22"/>
        </w:rPr>
        <w:t>per impresa (prima della conversione era € 25.000), che può essere ripart</w:t>
      </w:r>
      <w:r w:rsidR="002B1722">
        <w:rPr>
          <w:rFonts w:asciiTheme="minorHAnsi" w:hAnsiTheme="minorHAnsi" w:cstheme="minorHAnsi"/>
          <w:sz w:val="22"/>
          <w:szCs w:val="22"/>
        </w:rPr>
        <w:t>it</w:t>
      </w:r>
      <w:r w:rsidRPr="0033078C">
        <w:rPr>
          <w:rFonts w:asciiTheme="minorHAnsi" w:hAnsiTheme="minorHAnsi" w:cstheme="minorHAnsi"/>
          <w:sz w:val="22"/>
          <w:szCs w:val="22"/>
        </w:rPr>
        <w:t>o in più banche;</w:t>
      </w:r>
    </w:p>
    <w:p w14:paraId="769C81F4" w14:textId="7B5AA66B" w:rsidR="0033078C" w:rsidRPr="0033078C" w:rsidRDefault="0033078C" w:rsidP="0033078C">
      <w:pPr>
        <w:numPr>
          <w:ilvl w:val="0"/>
          <w:numId w:val="49"/>
        </w:numPr>
        <w:shd w:val="clear" w:color="auto" w:fill="FFFFFF"/>
        <w:spacing w:before="120"/>
        <w:ind w:left="48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bCs/>
          <w:sz w:val="22"/>
          <w:szCs w:val="22"/>
        </w:rPr>
        <w:t xml:space="preserve">durata </w:t>
      </w:r>
      <w:r w:rsidRPr="0033078C">
        <w:rPr>
          <w:rFonts w:asciiTheme="minorHAnsi" w:hAnsiTheme="minorHAnsi" w:cstheme="minorHAnsi"/>
          <w:sz w:val="22"/>
          <w:szCs w:val="22"/>
        </w:rPr>
        <w:t xml:space="preserve">del finanziamento fino a </w:t>
      </w:r>
      <w:r w:rsidRPr="0033078C">
        <w:rPr>
          <w:rFonts w:asciiTheme="minorHAnsi" w:hAnsiTheme="minorHAnsi" w:cstheme="minorHAnsi"/>
          <w:b/>
          <w:bCs/>
          <w:sz w:val="22"/>
          <w:szCs w:val="22"/>
        </w:rPr>
        <w:t>120 mesi</w:t>
      </w:r>
      <w:r w:rsidRPr="0033078C">
        <w:rPr>
          <w:rFonts w:asciiTheme="minorHAnsi" w:hAnsiTheme="minorHAnsi" w:cstheme="minorHAnsi"/>
          <w:sz w:val="22"/>
          <w:szCs w:val="22"/>
        </w:rPr>
        <w:t> (prima della conversione era 72 mesi) con un preammortamento di 24 mesi.</w:t>
      </w:r>
    </w:p>
    <w:p w14:paraId="6D327422" w14:textId="01BA803F" w:rsidR="0033078C" w:rsidRPr="0033078C" w:rsidRDefault="0033078C" w:rsidP="0033078C">
      <w:pPr>
        <w:shd w:val="clear" w:color="auto" w:fill="FFFFFF"/>
        <w:spacing w:before="12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sz w:val="22"/>
          <w:szCs w:val="22"/>
        </w:rPr>
        <w:t>La banca applicherà all’operazione finanziaria un </w:t>
      </w:r>
      <w:r w:rsidRPr="0033078C">
        <w:rPr>
          <w:rFonts w:asciiTheme="minorHAnsi" w:hAnsiTheme="minorHAnsi" w:cstheme="minorHAnsi"/>
          <w:b/>
          <w:bCs/>
          <w:sz w:val="22"/>
          <w:szCs w:val="22"/>
        </w:rPr>
        <w:t>tasso di interesse </w:t>
      </w:r>
      <w:r w:rsidRPr="0033078C">
        <w:rPr>
          <w:rFonts w:asciiTheme="minorHAnsi" w:hAnsiTheme="minorHAnsi" w:cstheme="minorHAnsi"/>
          <w:sz w:val="22"/>
          <w:szCs w:val="22"/>
        </w:rPr>
        <w:t>che tiene conto della</w:t>
      </w:r>
      <w:r w:rsidRPr="0033078C">
        <w:rPr>
          <w:rFonts w:asciiTheme="minorHAnsi" w:hAnsiTheme="minorHAnsi" w:cstheme="minorHAnsi"/>
          <w:b/>
          <w:bCs/>
          <w:sz w:val="22"/>
          <w:szCs w:val="22"/>
        </w:rPr>
        <w:t> copertura dei soli costi di istruttoria e di gestione dell’operazione</w:t>
      </w:r>
      <w:r w:rsidRPr="0033078C">
        <w:rPr>
          <w:rFonts w:asciiTheme="minorHAnsi" w:hAnsiTheme="minorHAnsi" w:cstheme="minorHAnsi"/>
          <w:sz w:val="22"/>
          <w:szCs w:val="22"/>
        </w:rPr>
        <w:t> finanziaria</w:t>
      </w:r>
      <w:r w:rsidR="002B1722">
        <w:rPr>
          <w:rFonts w:asciiTheme="minorHAnsi" w:hAnsiTheme="minorHAnsi" w:cstheme="minorHAnsi"/>
          <w:sz w:val="22"/>
          <w:szCs w:val="22"/>
        </w:rPr>
        <w:t>;</w:t>
      </w:r>
      <w:r w:rsidRPr="0033078C">
        <w:rPr>
          <w:rFonts w:asciiTheme="minorHAnsi" w:hAnsiTheme="minorHAnsi" w:cstheme="minorHAnsi"/>
          <w:sz w:val="22"/>
          <w:szCs w:val="22"/>
        </w:rPr>
        <w:t xml:space="preserve"> </w:t>
      </w:r>
      <w:r w:rsidRPr="0033078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33078C">
        <w:rPr>
          <w:rFonts w:asciiTheme="minorHAnsi" w:hAnsiTheme="minorHAnsi" w:cstheme="minorHAnsi"/>
          <w:b/>
          <w:sz w:val="22"/>
          <w:szCs w:val="22"/>
        </w:rPr>
        <w:t>d oggi il tasso di interesse è circa pari a 1,80%, 1,90%</w:t>
      </w:r>
      <w:r w:rsidRPr="0033078C">
        <w:rPr>
          <w:rFonts w:asciiTheme="minorHAnsi" w:hAnsiTheme="minorHAnsi" w:cstheme="minorHAnsi"/>
          <w:sz w:val="22"/>
          <w:szCs w:val="22"/>
        </w:rPr>
        <w:t>.</w:t>
      </w:r>
    </w:p>
    <w:p w14:paraId="439E3E5A" w14:textId="07F94AE2" w:rsidR="0033078C" w:rsidRPr="0033078C" w:rsidRDefault="0033078C" w:rsidP="0033078C">
      <w:pPr>
        <w:shd w:val="clear" w:color="auto" w:fill="FFFFFF"/>
        <w:spacing w:before="12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sz w:val="22"/>
          <w:szCs w:val="22"/>
        </w:rPr>
        <w:t>Esaurito il plafond dei 30.000 euro garantiti al 100%, l’impresa può chiedere ulteriori garanzie con copertura inferiore al 100% avvalendosi delle altre forme di copertura consentite dalla normativa che disciplina l’intervento del Fondo e</w:t>
      </w:r>
      <w:r w:rsidR="002B1722">
        <w:rPr>
          <w:rFonts w:asciiTheme="minorHAnsi" w:hAnsiTheme="minorHAnsi" w:cstheme="minorHAnsi"/>
          <w:sz w:val="22"/>
          <w:szCs w:val="22"/>
        </w:rPr>
        <w:t>,</w:t>
      </w:r>
      <w:r w:rsidRPr="0033078C">
        <w:rPr>
          <w:rFonts w:asciiTheme="minorHAnsi" w:hAnsiTheme="minorHAnsi" w:cstheme="minorHAnsi"/>
          <w:sz w:val="22"/>
          <w:szCs w:val="22"/>
        </w:rPr>
        <w:t xml:space="preserve"> comunque</w:t>
      </w:r>
      <w:r w:rsidR="002B1722">
        <w:rPr>
          <w:rFonts w:asciiTheme="minorHAnsi" w:hAnsiTheme="minorHAnsi" w:cstheme="minorHAnsi"/>
          <w:sz w:val="22"/>
          <w:szCs w:val="22"/>
        </w:rPr>
        <w:t>,</w:t>
      </w:r>
      <w:r w:rsidRPr="0033078C">
        <w:rPr>
          <w:rFonts w:asciiTheme="minorHAnsi" w:hAnsiTheme="minorHAnsi" w:cstheme="minorHAnsi"/>
          <w:sz w:val="22"/>
          <w:szCs w:val="22"/>
        </w:rPr>
        <w:t xml:space="preserve"> nei limiti previsti da quelle stesse forme di copertura e dalla disciplina comunitaria in materia di aiuti. </w:t>
      </w:r>
    </w:p>
    <w:p w14:paraId="28CAE23B" w14:textId="77777777" w:rsidR="0033078C" w:rsidRPr="0033078C" w:rsidRDefault="0033078C" w:rsidP="0033078C">
      <w:pPr>
        <w:shd w:val="clear" w:color="auto" w:fill="FFFFFF"/>
        <w:spacing w:before="12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sz w:val="22"/>
          <w:szCs w:val="22"/>
        </w:rPr>
        <w:t>I beneficiari della misura vengono ampliati comprendendo le associazioni professionali e di società tra professionisti nonché di agenti di assicurazione, subagenti di assicurazione e broker iscritti alla rispettiva sezione del Registro unico degli intermediari assicurativi e riassicurativi.</w:t>
      </w:r>
    </w:p>
    <w:p w14:paraId="0A55BB9E" w14:textId="77777777" w:rsidR="0033078C" w:rsidRPr="0033078C" w:rsidRDefault="0033078C" w:rsidP="0033078C">
      <w:pPr>
        <w:shd w:val="clear" w:color="auto" w:fill="FFFFFF"/>
        <w:spacing w:before="12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b/>
          <w:bCs/>
          <w:sz w:val="22"/>
          <w:szCs w:val="22"/>
        </w:rPr>
        <w:t>I finanziamenti già concessi, </w:t>
      </w:r>
      <w:r w:rsidRPr="0033078C">
        <w:rPr>
          <w:rFonts w:asciiTheme="minorHAnsi" w:hAnsiTheme="minorHAnsi" w:cstheme="minorHAnsi"/>
          <w:sz w:val="22"/>
          <w:szCs w:val="22"/>
        </w:rPr>
        <w:t>prima della conversione in legge del DL Liquidità, possono essere adeguati ai nuovi limiti tramite richiesta specifica.</w:t>
      </w:r>
    </w:p>
    <w:p w14:paraId="160B4922" w14:textId="00417BD6" w:rsidR="0033078C" w:rsidRPr="0033078C" w:rsidRDefault="0033078C" w:rsidP="0033078C">
      <w:pPr>
        <w:shd w:val="clear" w:color="auto" w:fill="FFFFFF"/>
        <w:spacing w:before="12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sz w:val="22"/>
          <w:szCs w:val="22"/>
        </w:rPr>
        <w:t xml:space="preserve">Per richiedere i finanziamenti è necessario utilizzare i modelli </w:t>
      </w:r>
      <w:r w:rsidRPr="0033078C">
        <w:rPr>
          <w:rFonts w:asciiTheme="minorHAnsi" w:hAnsiTheme="minorHAnsi" w:cstheme="minorHAnsi"/>
          <w:b/>
          <w:bCs/>
          <w:sz w:val="22"/>
          <w:szCs w:val="22"/>
        </w:rPr>
        <w:t>“allegato 4 bis”</w:t>
      </w:r>
      <w:r w:rsidRPr="0033078C">
        <w:rPr>
          <w:rFonts w:asciiTheme="minorHAnsi" w:hAnsiTheme="minorHAnsi" w:cstheme="minorHAnsi"/>
          <w:sz w:val="22"/>
          <w:szCs w:val="22"/>
        </w:rPr>
        <w:t xml:space="preserve"> e </w:t>
      </w:r>
      <w:r w:rsidRPr="0033078C">
        <w:rPr>
          <w:rFonts w:asciiTheme="minorHAnsi" w:hAnsiTheme="minorHAnsi" w:cstheme="minorHAnsi"/>
          <w:b/>
          <w:bCs/>
          <w:sz w:val="22"/>
          <w:szCs w:val="22"/>
        </w:rPr>
        <w:t>“integrazione allegato 4 bis”</w:t>
      </w:r>
      <w:r>
        <w:rPr>
          <w:rFonts w:asciiTheme="minorHAnsi" w:hAnsiTheme="minorHAnsi" w:cstheme="minorHAnsi"/>
          <w:sz w:val="22"/>
          <w:szCs w:val="22"/>
        </w:rPr>
        <w:t xml:space="preserve">, disponibili </w:t>
      </w:r>
      <w:r w:rsidRPr="0033078C">
        <w:rPr>
          <w:rFonts w:asciiTheme="minorHAnsi" w:hAnsiTheme="minorHAnsi" w:cstheme="minorHAnsi"/>
          <w:b/>
          <w:bCs/>
          <w:sz w:val="22"/>
          <w:szCs w:val="22"/>
        </w:rPr>
        <w:t>in allegato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3078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0161B0" w14:textId="77777777" w:rsidR="0033078C" w:rsidRPr="0033078C" w:rsidRDefault="0033078C" w:rsidP="0033078C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20D6997" w14:textId="581D2DF3" w:rsidR="0033078C" w:rsidRPr="0033078C" w:rsidRDefault="0033078C" w:rsidP="0033078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b/>
          <w:sz w:val="22"/>
          <w:szCs w:val="22"/>
        </w:rPr>
        <w:t>Per le garanzie dirette fino a 80% o riassicurazione 90% (Art. 13 e)</w:t>
      </w:r>
      <w:r w:rsidRPr="0033078C">
        <w:rPr>
          <w:rFonts w:asciiTheme="minorHAnsi" w:hAnsiTheme="minorHAnsi" w:cstheme="minorHAnsi"/>
          <w:sz w:val="22"/>
          <w:szCs w:val="22"/>
        </w:rPr>
        <w:t xml:space="preserve">, finalizzate ad </w:t>
      </w:r>
      <w:r w:rsidRPr="0033078C">
        <w:rPr>
          <w:rFonts w:asciiTheme="minorHAnsi" w:hAnsiTheme="minorHAnsi" w:cstheme="minorHAnsi"/>
          <w:b/>
          <w:bCs/>
          <w:sz w:val="22"/>
          <w:szCs w:val="22"/>
        </w:rPr>
        <w:t>operazioni di rinegoziazione del debito</w:t>
      </w:r>
      <w:r w:rsidRPr="0033078C">
        <w:rPr>
          <w:rFonts w:asciiTheme="minorHAnsi" w:hAnsiTheme="minorHAnsi" w:cstheme="minorHAnsi"/>
          <w:sz w:val="22"/>
          <w:szCs w:val="22"/>
        </w:rPr>
        <w:t> del soggetto beneficiario, </w:t>
      </w:r>
      <w:r w:rsidRPr="0033078C">
        <w:rPr>
          <w:rFonts w:asciiTheme="minorHAnsi" w:hAnsiTheme="minorHAnsi" w:cstheme="minorHAnsi"/>
          <w:b/>
          <w:bCs/>
          <w:sz w:val="22"/>
          <w:szCs w:val="22"/>
        </w:rPr>
        <w:t xml:space="preserve"> il nuovo finanziamento deve prevedere l'erogazione di credito aggiuntivo di almeno il 25%</w:t>
      </w:r>
      <w:r w:rsidRPr="0033078C">
        <w:rPr>
          <w:rFonts w:asciiTheme="minorHAnsi" w:hAnsiTheme="minorHAnsi" w:cstheme="minorHAnsi"/>
          <w:sz w:val="22"/>
          <w:szCs w:val="22"/>
        </w:rPr>
        <w:t> dell'importo del debito residuo (prima della conversione era del 10%); inoltre la banca deve trasmettere al gestore del Fondo una dichiarazione che attesti la riduzione del tasso di interesse applicata sul finanziamento garantito per effetto della sopravvenuta concessione della garanzia.</w:t>
      </w:r>
    </w:p>
    <w:p w14:paraId="479898BA" w14:textId="77777777" w:rsidR="0033078C" w:rsidRPr="0033078C" w:rsidRDefault="0033078C" w:rsidP="0033078C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4AC9E1CD" w14:textId="3C1DA018" w:rsidR="0033078C" w:rsidRPr="0033078C" w:rsidRDefault="0033078C" w:rsidP="0033078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b/>
          <w:sz w:val="22"/>
          <w:szCs w:val="22"/>
        </w:rPr>
        <w:t xml:space="preserve">Per le garanzie dirette fino al 90% + 10% Confidi (Art. 13 n) </w:t>
      </w:r>
      <w:r w:rsidRPr="0033078C">
        <w:rPr>
          <w:rFonts w:asciiTheme="minorHAnsi" w:hAnsiTheme="minorHAnsi" w:cstheme="minorHAnsi"/>
          <w:sz w:val="22"/>
          <w:szCs w:val="22"/>
        </w:rPr>
        <w:t>per aziende con fatturato fino ad 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3078C">
        <w:rPr>
          <w:rFonts w:asciiTheme="minorHAnsi" w:hAnsiTheme="minorHAnsi" w:cstheme="minorHAnsi"/>
          <w:sz w:val="22"/>
          <w:szCs w:val="22"/>
        </w:rPr>
        <w:t xml:space="preserve">3,2 milioni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33078C">
        <w:rPr>
          <w:rFonts w:asciiTheme="minorHAnsi" w:hAnsiTheme="minorHAnsi" w:cstheme="minorHAnsi"/>
          <w:sz w:val="22"/>
          <w:szCs w:val="22"/>
        </w:rPr>
        <w:t>a garanzia può essere rilasciata per prestiti di importo non superiore, alternativamente, al 25% del fatturato o al doppio del costo del personale.</w:t>
      </w:r>
    </w:p>
    <w:p w14:paraId="3DE84738" w14:textId="77777777" w:rsidR="0033078C" w:rsidRPr="0033078C" w:rsidRDefault="0033078C" w:rsidP="0033078C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13010FB4" w14:textId="77777777" w:rsidR="0033078C" w:rsidRPr="0033078C" w:rsidRDefault="0033078C" w:rsidP="0033078C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33078C">
        <w:rPr>
          <w:rFonts w:asciiTheme="minorHAnsi" w:hAnsiTheme="minorHAnsi" w:cstheme="minorHAnsi"/>
          <w:sz w:val="22"/>
          <w:szCs w:val="22"/>
        </w:rPr>
        <w:t xml:space="preserve">Si riporta </w:t>
      </w:r>
      <w:r w:rsidRPr="0033078C">
        <w:rPr>
          <w:rFonts w:asciiTheme="minorHAnsi" w:hAnsiTheme="minorHAnsi" w:cstheme="minorHAnsi"/>
          <w:b/>
          <w:bCs/>
          <w:sz w:val="22"/>
          <w:szCs w:val="22"/>
        </w:rPr>
        <w:t>in allegato</w:t>
      </w:r>
      <w:r w:rsidRPr="0033078C">
        <w:rPr>
          <w:rFonts w:asciiTheme="minorHAnsi" w:hAnsiTheme="minorHAnsi" w:cstheme="minorHAnsi"/>
          <w:sz w:val="22"/>
          <w:szCs w:val="22"/>
        </w:rPr>
        <w:t xml:space="preserve"> la circolare del Mediocredito che chiarisce alcune modalità di applicazione delle modifiche apportate dalla Legge di conversione n. 40 del 5 giugno 2020.</w:t>
      </w:r>
    </w:p>
    <w:p w14:paraId="58A77C80" w14:textId="77777777" w:rsidR="003B4139" w:rsidRPr="006A77B4" w:rsidRDefault="003B4139" w:rsidP="003B41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40D088" w14:textId="77777777" w:rsidR="003B4139" w:rsidRPr="006A77B4" w:rsidRDefault="003B4139" w:rsidP="003B41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A2507E" w14:textId="77777777" w:rsidR="003B4139" w:rsidRDefault="003B4139" w:rsidP="003B41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0E2C6" w14:textId="77777777" w:rsidR="003B4139" w:rsidRDefault="003B4139" w:rsidP="003B41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6016F" w14:textId="54F6B2A9" w:rsidR="003B4139" w:rsidRPr="00320A26" w:rsidRDefault="003B4139" w:rsidP="003B413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0A26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2771D5A5" w14:textId="77777777" w:rsidR="003B4139" w:rsidRDefault="003B4139" w:rsidP="003B4139">
      <w:pPr>
        <w:rPr>
          <w:rFonts w:asciiTheme="minorHAnsi" w:hAnsiTheme="minorHAnsi" w:cstheme="minorHAnsi"/>
          <w:sz w:val="22"/>
          <w:szCs w:val="22"/>
        </w:rPr>
      </w:pPr>
      <w:r w:rsidRPr="0041412F">
        <w:rPr>
          <w:rFonts w:asciiTheme="minorHAnsi" w:hAnsiTheme="minorHAnsi" w:cstheme="minorHAnsi"/>
          <w:sz w:val="22"/>
          <w:szCs w:val="22"/>
        </w:rPr>
        <w:t>Area Economia di Impresa</w:t>
      </w:r>
      <w:r w:rsidRPr="0041412F">
        <w:rPr>
          <w:rFonts w:asciiTheme="minorHAnsi" w:hAnsiTheme="minorHAnsi" w:cstheme="minorHAnsi"/>
          <w:sz w:val="22"/>
          <w:szCs w:val="22"/>
        </w:rPr>
        <w:br/>
        <w:t>Alessandro Castagnino Tel. 075 5820230 – Cell. 335 7175365 Email: </w:t>
      </w:r>
      <w:hyperlink r:id="rId7" w:history="1">
        <w:r w:rsidRPr="0041412F">
          <w:rPr>
            <w:rStyle w:val="Collegamentoipertestuale"/>
            <w:rFonts w:asciiTheme="minorHAnsi" w:hAnsiTheme="minorHAnsi" w:cstheme="minorHAnsi"/>
            <w:sz w:val="22"/>
            <w:szCs w:val="22"/>
          </w:rPr>
          <w:t>castagnino@confindustria.umbria.it</w:t>
        </w:r>
      </w:hyperlink>
      <w:r w:rsidRPr="0041412F">
        <w:rPr>
          <w:rFonts w:asciiTheme="minorHAnsi" w:hAnsiTheme="minorHAnsi" w:cstheme="minorHAnsi"/>
          <w:sz w:val="22"/>
          <w:szCs w:val="22"/>
        </w:rPr>
        <w:br/>
        <w:t>Valentina Vignaroli Tel. 075 5820209 – Cell. 338 6493886 Email: </w:t>
      </w:r>
      <w:hyperlink r:id="rId8" w:history="1">
        <w:r w:rsidRPr="0041412F">
          <w:rPr>
            <w:rStyle w:val="Collegamentoipertestuale"/>
            <w:rFonts w:asciiTheme="minorHAnsi" w:hAnsiTheme="minorHAnsi" w:cstheme="minorHAnsi"/>
            <w:sz w:val="22"/>
            <w:szCs w:val="22"/>
          </w:rPr>
          <w:t>vignaroli@confindustria.umbria.it</w:t>
        </w:r>
      </w:hyperlink>
      <w:r w:rsidRPr="0041412F">
        <w:rPr>
          <w:rFonts w:asciiTheme="minorHAnsi" w:hAnsiTheme="minorHAnsi" w:cstheme="minorHAnsi"/>
          <w:sz w:val="22"/>
          <w:szCs w:val="22"/>
        </w:rPr>
        <w:br/>
        <w:t>Paola Roscini Tel. 075 5820220 – Cell. 329 9261061 Email: </w:t>
      </w:r>
      <w:hyperlink r:id="rId9" w:history="1">
        <w:r w:rsidRPr="0041412F">
          <w:rPr>
            <w:rStyle w:val="Collegamentoipertestuale"/>
            <w:rFonts w:asciiTheme="minorHAnsi" w:hAnsiTheme="minorHAnsi" w:cstheme="minorHAnsi"/>
            <w:sz w:val="22"/>
            <w:szCs w:val="22"/>
          </w:rPr>
          <w:t>roscini@confindustria.umbria.it</w:t>
        </w:r>
      </w:hyperlink>
    </w:p>
    <w:p w14:paraId="62210FCB" w14:textId="77777777" w:rsidR="008369DA" w:rsidRPr="004558F9" w:rsidRDefault="008369DA" w:rsidP="0045147E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2967C660" w14:textId="77777777" w:rsidR="00876AC7" w:rsidRPr="004558F9" w:rsidRDefault="00876AC7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0D320C5F" w14:textId="77777777" w:rsidR="00876AC7" w:rsidRPr="004558F9" w:rsidRDefault="00876AC7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4115487" w14:textId="77777777" w:rsidR="00C43191" w:rsidRPr="004558F9" w:rsidRDefault="00C43191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37E4ABD7" w14:textId="77777777" w:rsidR="00876AC7" w:rsidRPr="004558F9" w:rsidRDefault="00876AC7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5AA1270D" w14:textId="6EBDDE5E" w:rsidR="00783E6E" w:rsidRPr="004558F9" w:rsidRDefault="00952E48" w:rsidP="004558F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 w:right="-2"/>
        <w:jc w:val="right"/>
        <w:rPr>
          <w:rFonts w:asciiTheme="minorHAnsi" w:hAnsiTheme="minorHAnsi" w:cstheme="minorHAnsi"/>
          <w:sz w:val="22"/>
          <w:szCs w:val="22"/>
        </w:rPr>
      </w:pPr>
      <w:r w:rsidRPr="004558F9">
        <w:rPr>
          <w:rFonts w:asciiTheme="minorHAnsi" w:hAnsiTheme="minorHAnsi" w:cstheme="minorHAnsi"/>
          <w:sz w:val="22"/>
          <w:szCs w:val="22"/>
        </w:rPr>
        <w:t xml:space="preserve">Pubblicato il </w:t>
      </w:r>
      <w:r w:rsidR="006A77B4">
        <w:rPr>
          <w:rFonts w:asciiTheme="minorHAnsi" w:hAnsiTheme="minorHAnsi" w:cstheme="minorHAnsi"/>
          <w:sz w:val="22"/>
          <w:szCs w:val="22"/>
        </w:rPr>
        <w:t>1</w:t>
      </w:r>
      <w:r w:rsidR="004F31DC">
        <w:rPr>
          <w:rFonts w:asciiTheme="minorHAnsi" w:hAnsiTheme="minorHAnsi" w:cstheme="minorHAnsi"/>
          <w:sz w:val="22"/>
          <w:szCs w:val="22"/>
        </w:rPr>
        <w:t>2</w:t>
      </w:r>
      <w:r w:rsidR="00FA75F7" w:rsidRPr="004558F9">
        <w:rPr>
          <w:rFonts w:asciiTheme="minorHAnsi" w:hAnsiTheme="minorHAnsi" w:cstheme="minorHAnsi"/>
          <w:sz w:val="22"/>
          <w:szCs w:val="22"/>
        </w:rPr>
        <w:t>/0</w:t>
      </w:r>
      <w:r w:rsidR="006A77B4">
        <w:rPr>
          <w:rFonts w:asciiTheme="minorHAnsi" w:hAnsiTheme="minorHAnsi" w:cstheme="minorHAnsi"/>
          <w:sz w:val="22"/>
          <w:szCs w:val="22"/>
        </w:rPr>
        <w:t>6</w:t>
      </w:r>
      <w:r w:rsidR="001B318E" w:rsidRPr="004558F9">
        <w:rPr>
          <w:rFonts w:asciiTheme="minorHAnsi" w:hAnsiTheme="minorHAnsi" w:cstheme="minorHAnsi"/>
          <w:sz w:val="22"/>
          <w:szCs w:val="22"/>
        </w:rPr>
        <w:t>/2020</w:t>
      </w:r>
    </w:p>
    <w:sectPr w:rsidR="00783E6E" w:rsidRPr="004558F9" w:rsidSect="004E62C8">
      <w:headerReference w:type="first" r:id="rId10"/>
      <w:footerReference w:type="first" r:id="rId11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B5AD4" w14:textId="77777777" w:rsidR="00AA0957" w:rsidRDefault="00AA0957">
      <w:r>
        <w:separator/>
      </w:r>
    </w:p>
  </w:endnote>
  <w:endnote w:type="continuationSeparator" w:id="0">
    <w:p w14:paraId="75BF4693" w14:textId="77777777" w:rsidR="00AA0957" w:rsidRDefault="00AA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20FF8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7F4B8491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0F29A8F6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4C43A9A0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29A5B" w14:textId="77777777" w:rsidR="00AA0957" w:rsidRDefault="00AA0957">
      <w:r>
        <w:separator/>
      </w:r>
    </w:p>
  </w:footnote>
  <w:footnote w:type="continuationSeparator" w:id="0">
    <w:p w14:paraId="72C2A3A3" w14:textId="77777777" w:rsidR="00AA0957" w:rsidRDefault="00AA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6716D894" w14:textId="77777777" w:rsidTr="00952E48">
      <w:tc>
        <w:tcPr>
          <w:tcW w:w="900" w:type="dxa"/>
        </w:tcPr>
        <w:p w14:paraId="33147CB0" w14:textId="77777777" w:rsidR="001867E9" w:rsidRDefault="00642520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1FB6253E" wp14:editId="29BF71B3">
                <wp:extent cx="514350" cy="495300"/>
                <wp:effectExtent l="19050" t="0" r="0" b="0"/>
                <wp:docPr id="1" name="Immagine 3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340042DB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09119A03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34E1F63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32F8E7E" w14:textId="77777777" w:rsidTr="00952E48">
      <w:tc>
        <w:tcPr>
          <w:tcW w:w="900" w:type="dxa"/>
        </w:tcPr>
        <w:p w14:paraId="727F87C5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218897E4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1037BB1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4511B3E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627A4EFD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6D01"/>
    <w:multiLevelType w:val="hybridMultilevel"/>
    <w:tmpl w:val="3EBC2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E32"/>
    <w:multiLevelType w:val="hybridMultilevel"/>
    <w:tmpl w:val="DBBAF888"/>
    <w:lvl w:ilvl="0" w:tplc="3DEC1B4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4065AF"/>
    <w:multiLevelType w:val="hybridMultilevel"/>
    <w:tmpl w:val="2586F2AC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F445C"/>
    <w:multiLevelType w:val="hybridMultilevel"/>
    <w:tmpl w:val="6A780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EF0"/>
    <w:multiLevelType w:val="hybridMultilevel"/>
    <w:tmpl w:val="4574F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6D76"/>
    <w:multiLevelType w:val="hybridMultilevel"/>
    <w:tmpl w:val="939413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A0C2BC9"/>
    <w:multiLevelType w:val="hybridMultilevel"/>
    <w:tmpl w:val="16A076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F2C3CD2"/>
    <w:multiLevelType w:val="hybridMultilevel"/>
    <w:tmpl w:val="FE44F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52673"/>
    <w:multiLevelType w:val="multilevel"/>
    <w:tmpl w:val="EA2C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25E83"/>
    <w:multiLevelType w:val="hybridMultilevel"/>
    <w:tmpl w:val="1C542810"/>
    <w:lvl w:ilvl="0" w:tplc="3DEC1B4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3C32BF"/>
    <w:multiLevelType w:val="hybridMultilevel"/>
    <w:tmpl w:val="56E86110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D7777"/>
    <w:multiLevelType w:val="hybridMultilevel"/>
    <w:tmpl w:val="3D24D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4482D"/>
    <w:multiLevelType w:val="hybridMultilevel"/>
    <w:tmpl w:val="544A2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23F39"/>
    <w:multiLevelType w:val="hybridMultilevel"/>
    <w:tmpl w:val="CD3E62DC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72AB1"/>
    <w:multiLevelType w:val="hybridMultilevel"/>
    <w:tmpl w:val="18106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F1112"/>
    <w:multiLevelType w:val="hybridMultilevel"/>
    <w:tmpl w:val="788AB9B0"/>
    <w:lvl w:ilvl="0" w:tplc="3DEC1B4A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435E11"/>
    <w:multiLevelType w:val="hybridMultilevel"/>
    <w:tmpl w:val="F34E967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49D540B"/>
    <w:multiLevelType w:val="hybridMultilevel"/>
    <w:tmpl w:val="B82CDEE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4D93F68"/>
    <w:multiLevelType w:val="hybridMultilevel"/>
    <w:tmpl w:val="321838BE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6D160DE"/>
    <w:multiLevelType w:val="hybridMultilevel"/>
    <w:tmpl w:val="60C28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56C8D"/>
    <w:multiLevelType w:val="hybridMultilevel"/>
    <w:tmpl w:val="611CD81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8D76B38"/>
    <w:multiLevelType w:val="hybridMultilevel"/>
    <w:tmpl w:val="146A8D98"/>
    <w:lvl w:ilvl="0" w:tplc="9A7CECA0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CC83544"/>
    <w:multiLevelType w:val="hybridMultilevel"/>
    <w:tmpl w:val="CA56DB98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B86F13"/>
    <w:multiLevelType w:val="hybridMultilevel"/>
    <w:tmpl w:val="1A36F0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81843"/>
    <w:multiLevelType w:val="multilevel"/>
    <w:tmpl w:val="0508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D92565"/>
    <w:multiLevelType w:val="multilevel"/>
    <w:tmpl w:val="849E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E078E9"/>
    <w:multiLevelType w:val="hybridMultilevel"/>
    <w:tmpl w:val="44ACF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71C56"/>
    <w:multiLevelType w:val="hybridMultilevel"/>
    <w:tmpl w:val="E9446668"/>
    <w:lvl w:ilvl="0" w:tplc="DE4496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544E2C"/>
    <w:multiLevelType w:val="hybridMultilevel"/>
    <w:tmpl w:val="D1262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DF2D85"/>
    <w:multiLevelType w:val="hybridMultilevel"/>
    <w:tmpl w:val="E132C80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6380D9E"/>
    <w:multiLevelType w:val="hybridMultilevel"/>
    <w:tmpl w:val="11A66F56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8582325"/>
    <w:multiLevelType w:val="hybridMultilevel"/>
    <w:tmpl w:val="1C682A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49A336AF"/>
    <w:multiLevelType w:val="hybridMultilevel"/>
    <w:tmpl w:val="199E3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97B2C"/>
    <w:multiLevelType w:val="hybridMultilevel"/>
    <w:tmpl w:val="4BBCD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8210FF"/>
    <w:multiLevelType w:val="hybridMultilevel"/>
    <w:tmpl w:val="10D64A66"/>
    <w:lvl w:ilvl="0" w:tplc="7110F66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4ED21205"/>
    <w:multiLevelType w:val="hybridMultilevel"/>
    <w:tmpl w:val="E9A052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20E58"/>
    <w:multiLevelType w:val="hybridMultilevel"/>
    <w:tmpl w:val="882EE6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B6D04"/>
    <w:multiLevelType w:val="hybridMultilevel"/>
    <w:tmpl w:val="463A97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46A3D"/>
    <w:multiLevelType w:val="hybridMultilevel"/>
    <w:tmpl w:val="F03E3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457D3"/>
    <w:multiLevelType w:val="hybridMultilevel"/>
    <w:tmpl w:val="1D465102"/>
    <w:lvl w:ilvl="0" w:tplc="8974A3AA"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6E0A521D"/>
    <w:multiLevelType w:val="hybridMultilevel"/>
    <w:tmpl w:val="E78EEF3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FDC13B8"/>
    <w:multiLevelType w:val="hybridMultilevel"/>
    <w:tmpl w:val="FFFFFFFF"/>
    <w:lvl w:ilvl="0" w:tplc="3A006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64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07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63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85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5C8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84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0D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E9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95865"/>
    <w:multiLevelType w:val="hybridMultilevel"/>
    <w:tmpl w:val="1AD0E00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31DD0"/>
    <w:multiLevelType w:val="hybridMultilevel"/>
    <w:tmpl w:val="545CDC5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3CC26CE"/>
    <w:multiLevelType w:val="hybridMultilevel"/>
    <w:tmpl w:val="CE145E36"/>
    <w:lvl w:ilvl="0" w:tplc="EF1A7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46170"/>
    <w:multiLevelType w:val="hybridMultilevel"/>
    <w:tmpl w:val="28245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C20D64"/>
    <w:multiLevelType w:val="hybridMultilevel"/>
    <w:tmpl w:val="CD8020C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D364986"/>
    <w:multiLevelType w:val="hybridMultilevel"/>
    <w:tmpl w:val="DDBCF3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06005"/>
    <w:multiLevelType w:val="hybridMultilevel"/>
    <w:tmpl w:val="40429A6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0"/>
  </w:num>
  <w:num w:numId="4">
    <w:abstractNumId w:val="3"/>
  </w:num>
  <w:num w:numId="5">
    <w:abstractNumId w:val="39"/>
  </w:num>
  <w:num w:numId="6">
    <w:abstractNumId w:val="34"/>
  </w:num>
  <w:num w:numId="7">
    <w:abstractNumId w:val="15"/>
  </w:num>
  <w:num w:numId="8">
    <w:abstractNumId w:val="1"/>
  </w:num>
  <w:num w:numId="9">
    <w:abstractNumId w:val="9"/>
  </w:num>
  <w:num w:numId="10">
    <w:abstractNumId w:val="2"/>
  </w:num>
  <w:num w:numId="11">
    <w:abstractNumId w:val="45"/>
  </w:num>
  <w:num w:numId="12">
    <w:abstractNumId w:val="37"/>
  </w:num>
  <w:num w:numId="13">
    <w:abstractNumId w:val="22"/>
  </w:num>
  <w:num w:numId="14">
    <w:abstractNumId w:val="0"/>
  </w:num>
  <w:num w:numId="15">
    <w:abstractNumId w:val="4"/>
  </w:num>
  <w:num w:numId="16">
    <w:abstractNumId w:val="12"/>
  </w:num>
  <w:num w:numId="17">
    <w:abstractNumId w:val="26"/>
  </w:num>
  <w:num w:numId="18">
    <w:abstractNumId w:val="23"/>
  </w:num>
  <w:num w:numId="19">
    <w:abstractNumId w:val="44"/>
  </w:num>
  <w:num w:numId="20">
    <w:abstractNumId w:val="13"/>
  </w:num>
  <w:num w:numId="21">
    <w:abstractNumId w:val="17"/>
  </w:num>
  <w:num w:numId="22">
    <w:abstractNumId w:val="14"/>
  </w:num>
  <w:num w:numId="23">
    <w:abstractNumId w:val="11"/>
  </w:num>
  <w:num w:numId="24">
    <w:abstractNumId w:val="19"/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42"/>
  </w:num>
  <w:num w:numId="29">
    <w:abstractNumId w:val="29"/>
  </w:num>
  <w:num w:numId="30">
    <w:abstractNumId w:val="47"/>
  </w:num>
  <w:num w:numId="31">
    <w:abstractNumId w:val="30"/>
  </w:num>
  <w:num w:numId="32">
    <w:abstractNumId w:val="7"/>
  </w:num>
  <w:num w:numId="33">
    <w:abstractNumId w:val="28"/>
  </w:num>
  <w:num w:numId="34">
    <w:abstractNumId w:val="18"/>
  </w:num>
  <w:num w:numId="35">
    <w:abstractNumId w:val="40"/>
  </w:num>
  <w:num w:numId="36">
    <w:abstractNumId w:val="31"/>
  </w:num>
  <w:num w:numId="37">
    <w:abstractNumId w:val="5"/>
  </w:num>
  <w:num w:numId="38">
    <w:abstractNumId w:val="43"/>
  </w:num>
  <w:num w:numId="39">
    <w:abstractNumId w:val="6"/>
  </w:num>
  <w:num w:numId="40">
    <w:abstractNumId w:val="48"/>
  </w:num>
  <w:num w:numId="41">
    <w:abstractNumId w:val="20"/>
  </w:num>
  <w:num w:numId="42">
    <w:abstractNumId w:val="24"/>
  </w:num>
  <w:num w:numId="43">
    <w:abstractNumId w:val="16"/>
  </w:num>
  <w:num w:numId="44">
    <w:abstractNumId w:val="27"/>
  </w:num>
  <w:num w:numId="45">
    <w:abstractNumId w:val="32"/>
  </w:num>
  <w:num w:numId="46">
    <w:abstractNumId w:val="38"/>
  </w:num>
  <w:num w:numId="47">
    <w:abstractNumId w:val="25"/>
  </w:num>
  <w:num w:numId="48">
    <w:abstractNumId w:val="4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418"/>
    <w:rsid w:val="000013D4"/>
    <w:rsid w:val="000018C4"/>
    <w:rsid w:val="0000315E"/>
    <w:rsid w:val="00003ACA"/>
    <w:rsid w:val="00006F29"/>
    <w:rsid w:val="00012716"/>
    <w:rsid w:val="000143BB"/>
    <w:rsid w:val="00014CFE"/>
    <w:rsid w:val="00025316"/>
    <w:rsid w:val="000369D4"/>
    <w:rsid w:val="00037418"/>
    <w:rsid w:val="00040079"/>
    <w:rsid w:val="00040CFB"/>
    <w:rsid w:val="00052071"/>
    <w:rsid w:val="000529BE"/>
    <w:rsid w:val="000539CB"/>
    <w:rsid w:val="00053A2C"/>
    <w:rsid w:val="00054588"/>
    <w:rsid w:val="00060E02"/>
    <w:rsid w:val="000625BE"/>
    <w:rsid w:val="000637F2"/>
    <w:rsid w:val="000730C5"/>
    <w:rsid w:val="00080648"/>
    <w:rsid w:val="00080ADD"/>
    <w:rsid w:val="000813C4"/>
    <w:rsid w:val="0009548E"/>
    <w:rsid w:val="000A39EA"/>
    <w:rsid w:val="000A7082"/>
    <w:rsid w:val="000B06C6"/>
    <w:rsid w:val="000B40C1"/>
    <w:rsid w:val="000C093D"/>
    <w:rsid w:val="000D36C6"/>
    <w:rsid w:val="000D4ADA"/>
    <w:rsid w:val="000D5694"/>
    <w:rsid w:val="000F0817"/>
    <w:rsid w:val="000F5713"/>
    <w:rsid w:val="0010022F"/>
    <w:rsid w:val="00103B7C"/>
    <w:rsid w:val="001214E1"/>
    <w:rsid w:val="001225E9"/>
    <w:rsid w:val="00126D4F"/>
    <w:rsid w:val="001272CC"/>
    <w:rsid w:val="00130399"/>
    <w:rsid w:val="001311CA"/>
    <w:rsid w:val="00136808"/>
    <w:rsid w:val="00142E17"/>
    <w:rsid w:val="00146E00"/>
    <w:rsid w:val="00151B1D"/>
    <w:rsid w:val="00151BDD"/>
    <w:rsid w:val="001674E2"/>
    <w:rsid w:val="001752E8"/>
    <w:rsid w:val="00177B26"/>
    <w:rsid w:val="00185763"/>
    <w:rsid w:val="001867E9"/>
    <w:rsid w:val="001A00A3"/>
    <w:rsid w:val="001A0EA6"/>
    <w:rsid w:val="001A61DB"/>
    <w:rsid w:val="001B1366"/>
    <w:rsid w:val="001B318E"/>
    <w:rsid w:val="001B5D5E"/>
    <w:rsid w:val="001C016B"/>
    <w:rsid w:val="001C0AB3"/>
    <w:rsid w:val="001C11E9"/>
    <w:rsid w:val="001C5C73"/>
    <w:rsid w:val="001D783D"/>
    <w:rsid w:val="001D7F3D"/>
    <w:rsid w:val="001E0909"/>
    <w:rsid w:val="001E720B"/>
    <w:rsid w:val="001F202A"/>
    <w:rsid w:val="001F48AB"/>
    <w:rsid w:val="001F4D1B"/>
    <w:rsid w:val="00201059"/>
    <w:rsid w:val="0020292B"/>
    <w:rsid w:val="00210ED4"/>
    <w:rsid w:val="00213982"/>
    <w:rsid w:val="002159F6"/>
    <w:rsid w:val="002166C4"/>
    <w:rsid w:val="002208CF"/>
    <w:rsid w:val="0022467F"/>
    <w:rsid w:val="00224BFB"/>
    <w:rsid w:val="0022540F"/>
    <w:rsid w:val="00227D8D"/>
    <w:rsid w:val="0023794F"/>
    <w:rsid w:val="00237B46"/>
    <w:rsid w:val="0024092D"/>
    <w:rsid w:val="00243CE1"/>
    <w:rsid w:val="00245654"/>
    <w:rsid w:val="0025646E"/>
    <w:rsid w:val="0025789A"/>
    <w:rsid w:val="002650B4"/>
    <w:rsid w:val="00265FD1"/>
    <w:rsid w:val="00267F8E"/>
    <w:rsid w:val="002716D9"/>
    <w:rsid w:val="00273AA2"/>
    <w:rsid w:val="0027421E"/>
    <w:rsid w:val="00280A51"/>
    <w:rsid w:val="00285335"/>
    <w:rsid w:val="002900E4"/>
    <w:rsid w:val="00293CF1"/>
    <w:rsid w:val="0029574D"/>
    <w:rsid w:val="002A630A"/>
    <w:rsid w:val="002B1722"/>
    <w:rsid w:val="002B1E14"/>
    <w:rsid w:val="002B5B1F"/>
    <w:rsid w:val="002B7EEB"/>
    <w:rsid w:val="002C4584"/>
    <w:rsid w:val="002C7117"/>
    <w:rsid w:val="002F343F"/>
    <w:rsid w:val="002F4BFF"/>
    <w:rsid w:val="0030052C"/>
    <w:rsid w:val="00300CDB"/>
    <w:rsid w:val="00301716"/>
    <w:rsid w:val="003037C6"/>
    <w:rsid w:val="00306EA7"/>
    <w:rsid w:val="00312532"/>
    <w:rsid w:val="00321F3E"/>
    <w:rsid w:val="003222D2"/>
    <w:rsid w:val="0033078C"/>
    <w:rsid w:val="0034265F"/>
    <w:rsid w:val="003442C7"/>
    <w:rsid w:val="00345812"/>
    <w:rsid w:val="0034687E"/>
    <w:rsid w:val="00365D36"/>
    <w:rsid w:val="00373318"/>
    <w:rsid w:val="0037378A"/>
    <w:rsid w:val="00376C0F"/>
    <w:rsid w:val="00387C8D"/>
    <w:rsid w:val="003939A9"/>
    <w:rsid w:val="003B1E94"/>
    <w:rsid w:val="003B4139"/>
    <w:rsid w:val="003B6D95"/>
    <w:rsid w:val="003B7ED2"/>
    <w:rsid w:val="003C543B"/>
    <w:rsid w:val="003D1CBA"/>
    <w:rsid w:val="003D6394"/>
    <w:rsid w:val="003D7A74"/>
    <w:rsid w:val="00415253"/>
    <w:rsid w:val="00432B85"/>
    <w:rsid w:val="00434DD7"/>
    <w:rsid w:val="004353E3"/>
    <w:rsid w:val="004432B6"/>
    <w:rsid w:val="0045147E"/>
    <w:rsid w:val="004558F9"/>
    <w:rsid w:val="0046276A"/>
    <w:rsid w:val="00472D2B"/>
    <w:rsid w:val="00493014"/>
    <w:rsid w:val="004941CA"/>
    <w:rsid w:val="004A184B"/>
    <w:rsid w:val="004A343B"/>
    <w:rsid w:val="004C2CC8"/>
    <w:rsid w:val="004D48E8"/>
    <w:rsid w:val="004D4957"/>
    <w:rsid w:val="004E62C8"/>
    <w:rsid w:val="004E7405"/>
    <w:rsid w:val="004F05E8"/>
    <w:rsid w:val="004F31DC"/>
    <w:rsid w:val="00520F32"/>
    <w:rsid w:val="00531CA4"/>
    <w:rsid w:val="005521E7"/>
    <w:rsid w:val="005554A0"/>
    <w:rsid w:val="00562DBB"/>
    <w:rsid w:val="00565BA4"/>
    <w:rsid w:val="00571978"/>
    <w:rsid w:val="00571AA5"/>
    <w:rsid w:val="00575238"/>
    <w:rsid w:val="00575EB3"/>
    <w:rsid w:val="00582C6F"/>
    <w:rsid w:val="005939C3"/>
    <w:rsid w:val="005A13D8"/>
    <w:rsid w:val="005B5EC1"/>
    <w:rsid w:val="005C3804"/>
    <w:rsid w:val="005C488C"/>
    <w:rsid w:val="005D213F"/>
    <w:rsid w:val="005D4AA4"/>
    <w:rsid w:val="005D4BAA"/>
    <w:rsid w:val="005E2A6A"/>
    <w:rsid w:val="005E7CE7"/>
    <w:rsid w:val="005F136F"/>
    <w:rsid w:val="0060699C"/>
    <w:rsid w:val="0061012C"/>
    <w:rsid w:val="006123EB"/>
    <w:rsid w:val="00624801"/>
    <w:rsid w:val="006250DB"/>
    <w:rsid w:val="00632313"/>
    <w:rsid w:val="006353D0"/>
    <w:rsid w:val="006411A6"/>
    <w:rsid w:val="00642520"/>
    <w:rsid w:val="00643E55"/>
    <w:rsid w:val="006475DC"/>
    <w:rsid w:val="0066599F"/>
    <w:rsid w:val="00670627"/>
    <w:rsid w:val="006715E5"/>
    <w:rsid w:val="00673C44"/>
    <w:rsid w:val="00676528"/>
    <w:rsid w:val="0068018D"/>
    <w:rsid w:val="0068354B"/>
    <w:rsid w:val="00687E20"/>
    <w:rsid w:val="00691957"/>
    <w:rsid w:val="0069445C"/>
    <w:rsid w:val="00695D17"/>
    <w:rsid w:val="006962AB"/>
    <w:rsid w:val="00696623"/>
    <w:rsid w:val="006A77B4"/>
    <w:rsid w:val="006C0991"/>
    <w:rsid w:val="006C2964"/>
    <w:rsid w:val="006C5530"/>
    <w:rsid w:val="006C55FF"/>
    <w:rsid w:val="006C6BFD"/>
    <w:rsid w:val="006C7D21"/>
    <w:rsid w:val="006E4296"/>
    <w:rsid w:val="006E765D"/>
    <w:rsid w:val="006F4A89"/>
    <w:rsid w:val="006F5462"/>
    <w:rsid w:val="006F6EC6"/>
    <w:rsid w:val="00705633"/>
    <w:rsid w:val="00706997"/>
    <w:rsid w:val="00714AA6"/>
    <w:rsid w:val="00721719"/>
    <w:rsid w:val="00727E86"/>
    <w:rsid w:val="00730B07"/>
    <w:rsid w:val="00731D76"/>
    <w:rsid w:val="00742B6A"/>
    <w:rsid w:val="0074414B"/>
    <w:rsid w:val="00744DE8"/>
    <w:rsid w:val="00747B81"/>
    <w:rsid w:val="00747C5A"/>
    <w:rsid w:val="00753742"/>
    <w:rsid w:val="007552B4"/>
    <w:rsid w:val="0075722D"/>
    <w:rsid w:val="007578BB"/>
    <w:rsid w:val="0076245B"/>
    <w:rsid w:val="007633F0"/>
    <w:rsid w:val="0078188D"/>
    <w:rsid w:val="0078268C"/>
    <w:rsid w:val="00783E6E"/>
    <w:rsid w:val="00787DDB"/>
    <w:rsid w:val="007911A1"/>
    <w:rsid w:val="00797FBA"/>
    <w:rsid w:val="007A4129"/>
    <w:rsid w:val="007A4BC4"/>
    <w:rsid w:val="007A4D59"/>
    <w:rsid w:val="007B0324"/>
    <w:rsid w:val="007B28C2"/>
    <w:rsid w:val="007B72D4"/>
    <w:rsid w:val="007B7550"/>
    <w:rsid w:val="007C0118"/>
    <w:rsid w:val="007E1CB1"/>
    <w:rsid w:val="007E52F6"/>
    <w:rsid w:val="007F34EA"/>
    <w:rsid w:val="008050CE"/>
    <w:rsid w:val="00811C67"/>
    <w:rsid w:val="00812476"/>
    <w:rsid w:val="0082387C"/>
    <w:rsid w:val="008253A5"/>
    <w:rsid w:val="0083206A"/>
    <w:rsid w:val="008327EF"/>
    <w:rsid w:val="008369DA"/>
    <w:rsid w:val="0083702B"/>
    <w:rsid w:val="008671AD"/>
    <w:rsid w:val="00876AC7"/>
    <w:rsid w:val="00890A42"/>
    <w:rsid w:val="00895D5A"/>
    <w:rsid w:val="008B27B1"/>
    <w:rsid w:val="008B5620"/>
    <w:rsid w:val="008B7397"/>
    <w:rsid w:val="008C01A5"/>
    <w:rsid w:val="008C21F3"/>
    <w:rsid w:val="008C6055"/>
    <w:rsid w:val="008C6FB9"/>
    <w:rsid w:val="008D5DF3"/>
    <w:rsid w:val="008E1879"/>
    <w:rsid w:val="008E4FD8"/>
    <w:rsid w:val="008F0D31"/>
    <w:rsid w:val="008F3555"/>
    <w:rsid w:val="008F5CA2"/>
    <w:rsid w:val="008F7F38"/>
    <w:rsid w:val="00901DD6"/>
    <w:rsid w:val="00917D5C"/>
    <w:rsid w:val="0092082A"/>
    <w:rsid w:val="00921861"/>
    <w:rsid w:val="009273A6"/>
    <w:rsid w:val="00932555"/>
    <w:rsid w:val="00944A2C"/>
    <w:rsid w:val="00951362"/>
    <w:rsid w:val="00952690"/>
    <w:rsid w:val="00952E48"/>
    <w:rsid w:val="00956C80"/>
    <w:rsid w:val="00972881"/>
    <w:rsid w:val="009728AA"/>
    <w:rsid w:val="00976B2D"/>
    <w:rsid w:val="00983919"/>
    <w:rsid w:val="0099794A"/>
    <w:rsid w:val="009A181B"/>
    <w:rsid w:val="009C2862"/>
    <w:rsid w:val="009C6610"/>
    <w:rsid w:val="009C66FF"/>
    <w:rsid w:val="009D26C3"/>
    <w:rsid w:val="009D42AF"/>
    <w:rsid w:val="009D524B"/>
    <w:rsid w:val="009E718E"/>
    <w:rsid w:val="009F5830"/>
    <w:rsid w:val="00A02167"/>
    <w:rsid w:val="00A029FA"/>
    <w:rsid w:val="00A108C5"/>
    <w:rsid w:val="00A20E87"/>
    <w:rsid w:val="00A2116B"/>
    <w:rsid w:val="00A35E9C"/>
    <w:rsid w:val="00A554C8"/>
    <w:rsid w:val="00A5706E"/>
    <w:rsid w:val="00A60990"/>
    <w:rsid w:val="00A61D4D"/>
    <w:rsid w:val="00A620B2"/>
    <w:rsid w:val="00A64B15"/>
    <w:rsid w:val="00A7481A"/>
    <w:rsid w:val="00A87009"/>
    <w:rsid w:val="00A874BE"/>
    <w:rsid w:val="00A92403"/>
    <w:rsid w:val="00A961EB"/>
    <w:rsid w:val="00AA0957"/>
    <w:rsid w:val="00AA0DD3"/>
    <w:rsid w:val="00AA6BBD"/>
    <w:rsid w:val="00AB5961"/>
    <w:rsid w:val="00AB6334"/>
    <w:rsid w:val="00AC09F6"/>
    <w:rsid w:val="00AC1D5C"/>
    <w:rsid w:val="00AC50B3"/>
    <w:rsid w:val="00AC65C7"/>
    <w:rsid w:val="00AD0B0E"/>
    <w:rsid w:val="00AD6736"/>
    <w:rsid w:val="00AE361C"/>
    <w:rsid w:val="00AE5C12"/>
    <w:rsid w:val="00AE79D7"/>
    <w:rsid w:val="00AF06D9"/>
    <w:rsid w:val="00AF0A65"/>
    <w:rsid w:val="00AF1EC1"/>
    <w:rsid w:val="00AF303A"/>
    <w:rsid w:val="00AF3B5F"/>
    <w:rsid w:val="00AF47B3"/>
    <w:rsid w:val="00B00F57"/>
    <w:rsid w:val="00B04CC0"/>
    <w:rsid w:val="00B1022E"/>
    <w:rsid w:val="00B1385A"/>
    <w:rsid w:val="00B14F74"/>
    <w:rsid w:val="00B27B4F"/>
    <w:rsid w:val="00B44EC6"/>
    <w:rsid w:val="00B50E3E"/>
    <w:rsid w:val="00B55997"/>
    <w:rsid w:val="00B56F41"/>
    <w:rsid w:val="00B65A90"/>
    <w:rsid w:val="00B840F5"/>
    <w:rsid w:val="00B90AB4"/>
    <w:rsid w:val="00B9787B"/>
    <w:rsid w:val="00B97A78"/>
    <w:rsid w:val="00BA7B76"/>
    <w:rsid w:val="00BB7D4D"/>
    <w:rsid w:val="00BC4801"/>
    <w:rsid w:val="00BD544A"/>
    <w:rsid w:val="00BD60DB"/>
    <w:rsid w:val="00BE1FD2"/>
    <w:rsid w:val="00BF3D5C"/>
    <w:rsid w:val="00BF5DC1"/>
    <w:rsid w:val="00BF611A"/>
    <w:rsid w:val="00C0322C"/>
    <w:rsid w:val="00C061B6"/>
    <w:rsid w:val="00C10A7A"/>
    <w:rsid w:val="00C136E3"/>
    <w:rsid w:val="00C14167"/>
    <w:rsid w:val="00C20F49"/>
    <w:rsid w:val="00C23FBE"/>
    <w:rsid w:val="00C369CE"/>
    <w:rsid w:val="00C43191"/>
    <w:rsid w:val="00C5244E"/>
    <w:rsid w:val="00C60183"/>
    <w:rsid w:val="00C61FD4"/>
    <w:rsid w:val="00C64412"/>
    <w:rsid w:val="00CA0CC6"/>
    <w:rsid w:val="00CA1FD0"/>
    <w:rsid w:val="00CA3A0B"/>
    <w:rsid w:val="00CA5F1B"/>
    <w:rsid w:val="00CA5FB4"/>
    <w:rsid w:val="00CB1241"/>
    <w:rsid w:val="00CB1898"/>
    <w:rsid w:val="00CB45BC"/>
    <w:rsid w:val="00CC42BA"/>
    <w:rsid w:val="00CC679B"/>
    <w:rsid w:val="00CC6FE5"/>
    <w:rsid w:val="00CE4677"/>
    <w:rsid w:val="00CE49E0"/>
    <w:rsid w:val="00CF3C98"/>
    <w:rsid w:val="00CF724D"/>
    <w:rsid w:val="00D035AB"/>
    <w:rsid w:val="00D12E1E"/>
    <w:rsid w:val="00D32FC7"/>
    <w:rsid w:val="00D33826"/>
    <w:rsid w:val="00D4228E"/>
    <w:rsid w:val="00D50F2A"/>
    <w:rsid w:val="00D54A18"/>
    <w:rsid w:val="00D71FF5"/>
    <w:rsid w:val="00D7289C"/>
    <w:rsid w:val="00D73825"/>
    <w:rsid w:val="00D76BFB"/>
    <w:rsid w:val="00D77D9A"/>
    <w:rsid w:val="00D77E54"/>
    <w:rsid w:val="00D8225F"/>
    <w:rsid w:val="00D86558"/>
    <w:rsid w:val="00DA5995"/>
    <w:rsid w:val="00DB6872"/>
    <w:rsid w:val="00DB712C"/>
    <w:rsid w:val="00DC0AA7"/>
    <w:rsid w:val="00DC0ED4"/>
    <w:rsid w:val="00DC7F97"/>
    <w:rsid w:val="00DD3C06"/>
    <w:rsid w:val="00DE65AF"/>
    <w:rsid w:val="00DF757F"/>
    <w:rsid w:val="00E16E31"/>
    <w:rsid w:val="00E20570"/>
    <w:rsid w:val="00E27EE9"/>
    <w:rsid w:val="00E36D39"/>
    <w:rsid w:val="00E44B8E"/>
    <w:rsid w:val="00E47D5B"/>
    <w:rsid w:val="00E54AAE"/>
    <w:rsid w:val="00E71CEB"/>
    <w:rsid w:val="00E73F10"/>
    <w:rsid w:val="00E74643"/>
    <w:rsid w:val="00E75AB7"/>
    <w:rsid w:val="00E85233"/>
    <w:rsid w:val="00E9459A"/>
    <w:rsid w:val="00E95BEF"/>
    <w:rsid w:val="00E95DDE"/>
    <w:rsid w:val="00EA197C"/>
    <w:rsid w:val="00EA4465"/>
    <w:rsid w:val="00EA77EA"/>
    <w:rsid w:val="00EB1B2C"/>
    <w:rsid w:val="00EB1E0A"/>
    <w:rsid w:val="00EB3C38"/>
    <w:rsid w:val="00EB58A5"/>
    <w:rsid w:val="00EB5EDF"/>
    <w:rsid w:val="00EB5F34"/>
    <w:rsid w:val="00EC0D5D"/>
    <w:rsid w:val="00EC1344"/>
    <w:rsid w:val="00EC6098"/>
    <w:rsid w:val="00ED00A4"/>
    <w:rsid w:val="00ED2B9F"/>
    <w:rsid w:val="00ED6E2C"/>
    <w:rsid w:val="00ED7B1E"/>
    <w:rsid w:val="00EE18FB"/>
    <w:rsid w:val="00EE4B1F"/>
    <w:rsid w:val="00F04916"/>
    <w:rsid w:val="00F0497F"/>
    <w:rsid w:val="00F0770F"/>
    <w:rsid w:val="00F106A1"/>
    <w:rsid w:val="00F10DC2"/>
    <w:rsid w:val="00F169DE"/>
    <w:rsid w:val="00F23D65"/>
    <w:rsid w:val="00F32A75"/>
    <w:rsid w:val="00F362C5"/>
    <w:rsid w:val="00F4236A"/>
    <w:rsid w:val="00F42FDE"/>
    <w:rsid w:val="00F4663F"/>
    <w:rsid w:val="00F5162A"/>
    <w:rsid w:val="00F51DA0"/>
    <w:rsid w:val="00F52882"/>
    <w:rsid w:val="00F54D35"/>
    <w:rsid w:val="00F60480"/>
    <w:rsid w:val="00F7718A"/>
    <w:rsid w:val="00F777B3"/>
    <w:rsid w:val="00F90DEA"/>
    <w:rsid w:val="00F94CCF"/>
    <w:rsid w:val="00F97A6E"/>
    <w:rsid w:val="00FA09DD"/>
    <w:rsid w:val="00FA1B14"/>
    <w:rsid w:val="00FA75F7"/>
    <w:rsid w:val="00FC185C"/>
    <w:rsid w:val="00FC53D5"/>
    <w:rsid w:val="00FC6664"/>
    <w:rsid w:val="00FD1D1D"/>
    <w:rsid w:val="00FD5DAB"/>
    <w:rsid w:val="00FD5E8C"/>
    <w:rsid w:val="00FD5F64"/>
    <w:rsid w:val="00FE45A1"/>
    <w:rsid w:val="00FF1A8D"/>
    <w:rsid w:val="00FF2346"/>
    <w:rsid w:val="00FF55A3"/>
    <w:rsid w:val="00FF5776"/>
    <w:rsid w:val="00FF5D87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C97F0"/>
  <w15:docId w15:val="{2A846BF1-6B7D-4BE4-A9E5-BB780417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5269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9526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2690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9526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F7F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base">
    <w:name w:val="[Paragrafo base]"/>
    <w:basedOn w:val="Normale"/>
    <w:uiPriority w:val="99"/>
    <w:rsid w:val="00676528"/>
    <w:pPr>
      <w:autoSpaceDE w:val="0"/>
      <w:autoSpaceDN w:val="0"/>
      <w:spacing w:line="288" w:lineRule="auto"/>
    </w:pPr>
    <w:rPr>
      <w:rFonts w:ascii="MinionPro-Regular" w:eastAsia="Calibri" w:hAnsi="MinionPro-Regular" w:cs="Calibri"/>
      <w:color w:val="000000"/>
      <w:lang w:eastAsia="ja-JP"/>
    </w:rPr>
  </w:style>
  <w:style w:type="paragraph" w:styleId="NormaleWeb">
    <w:name w:val="Normal (Web)"/>
    <w:basedOn w:val="Normale"/>
    <w:uiPriority w:val="99"/>
    <w:semiHidden/>
    <w:unhideWhenUsed/>
    <w:rsid w:val="00C61FD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5C3804"/>
    <w:rPr>
      <w:rFonts w:ascii="Calibri" w:eastAsia="Calibr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5C3804"/>
    <w:rPr>
      <w:rFonts w:ascii="Calibri" w:eastAsia="Calibri" w:hAnsi="Calibri" w:cs="Consolas"/>
      <w:sz w:val="22"/>
      <w:szCs w:val="21"/>
      <w:lang w:eastAsia="en-US"/>
    </w:rPr>
  </w:style>
  <w:style w:type="paragraph" w:customStyle="1" w:styleId="xmsonormal">
    <w:name w:val="x_msonormal"/>
    <w:basedOn w:val="Normale"/>
    <w:rsid w:val="00D4228E"/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rsid w:val="000D5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1752E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939A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4F31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naroli@confindustria.umbr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stagnino@confindustria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scini@confindustria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santilli\Desktop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147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4033</CharactersWithSpaces>
  <SharedDoc>false</SharedDoc>
  <HLinks>
    <vt:vector size="6" baseType="variant">
      <vt:variant>
        <vt:i4>6160446</vt:i4>
      </vt:variant>
      <vt:variant>
        <vt:i4>0</vt:i4>
      </vt:variant>
      <vt:variant>
        <vt:i4>0</vt:i4>
      </vt:variant>
      <vt:variant>
        <vt:i4>5</vt:i4>
      </vt:variant>
      <vt:variant>
        <vt:lpwstr>mailto:sindacale@confindustria.umbria.it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30</cp:revision>
  <cp:lastPrinted>2019-11-18T08:55:00Z</cp:lastPrinted>
  <dcterms:created xsi:type="dcterms:W3CDTF">2020-03-31T10:01:00Z</dcterms:created>
  <dcterms:modified xsi:type="dcterms:W3CDTF">2020-06-12T16:02:00Z</dcterms:modified>
</cp:coreProperties>
</file>