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A4558" w14:textId="019543D8" w:rsidR="00627603" w:rsidRPr="00627603" w:rsidRDefault="00344B54" w:rsidP="00315091">
      <w:pPr>
        <w:shd w:val="clear" w:color="auto" w:fill="FFFFFF"/>
        <w:jc w:val="both"/>
        <w:rPr>
          <w:rFonts w:asciiTheme="minorHAnsi" w:hAnsiTheme="minorHAnsi" w:cstheme="minorHAnsi"/>
          <w:b/>
          <w:bCs/>
          <w:sz w:val="22"/>
          <w:szCs w:val="22"/>
        </w:rPr>
      </w:pPr>
      <w:r w:rsidRPr="00315091">
        <w:rPr>
          <w:rFonts w:asciiTheme="minorHAnsi" w:hAnsiTheme="minorHAnsi" w:cstheme="minorHAnsi"/>
          <w:b/>
          <w:bCs/>
          <w:sz w:val="22"/>
          <w:szCs w:val="22"/>
        </w:rPr>
        <w:pict w14:anchorId="036903AB">
          <v:shape id="Segno di sottrazione 5" o:spid="_x0000_s1026" style="position:absolute;left:0;text-align:left;margin-left:-73.75pt;margin-top:-24pt;width:599.2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104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" path="m1008768,17483r5592939,l6601707,28236r-5592939,l1008768,17483xe" fillcolor="#205394" strokecolor="#385d8a" strokeweight="1pt">
            <v:path arrowok="t" o:connecttype="custom" o:connectlocs="1008768,17483;6601707,17483;6601707,28236;1008768,28236;1008768,17483" o:connectangles="0,0,0,0,0"/>
          </v:shape>
        </w:pict>
      </w:r>
      <w:r w:rsidR="00627603" w:rsidRPr="00627603">
        <w:rPr>
          <w:rFonts w:asciiTheme="minorHAnsi" w:hAnsiTheme="minorHAnsi" w:cstheme="minorHAnsi"/>
          <w:b/>
          <w:bCs/>
          <w:sz w:val="22"/>
          <w:szCs w:val="22"/>
        </w:rPr>
        <w:t>Efficienza energetica: nuove disposizioni in vigore</w:t>
      </w:r>
    </w:p>
    <w:p w14:paraId="6FD7C974" w14:textId="49E7C3B6" w:rsidR="00FD4966" w:rsidRPr="00315091" w:rsidRDefault="00FD4966" w:rsidP="00315091">
      <w:pPr>
        <w:autoSpaceDE w:val="0"/>
        <w:autoSpaceDN w:val="0"/>
        <w:adjustRightInd w:val="0"/>
        <w:jc w:val="both"/>
        <w:rPr>
          <w:rFonts w:asciiTheme="minorHAnsi" w:hAnsiTheme="minorHAnsi" w:cstheme="minorHAnsi"/>
          <w:b/>
          <w:bCs/>
          <w:sz w:val="22"/>
          <w:szCs w:val="22"/>
        </w:rPr>
      </w:pPr>
    </w:p>
    <w:p w14:paraId="0E584128" w14:textId="369570E8" w:rsidR="005276B5" w:rsidRPr="00315091" w:rsidRDefault="00627603" w:rsidP="00315091">
      <w:pPr>
        <w:shd w:val="clear" w:color="auto" w:fill="FFFFFF"/>
        <w:jc w:val="both"/>
        <w:rPr>
          <w:rFonts w:asciiTheme="minorHAnsi" w:hAnsiTheme="minorHAnsi" w:cstheme="minorHAnsi"/>
          <w:sz w:val="22"/>
          <w:szCs w:val="22"/>
        </w:rPr>
      </w:pPr>
      <w:r w:rsidRPr="00315091">
        <w:rPr>
          <w:rFonts w:asciiTheme="minorHAnsi" w:hAnsiTheme="minorHAnsi" w:cstheme="minorHAnsi"/>
          <w:sz w:val="22"/>
          <w:szCs w:val="22"/>
        </w:rPr>
        <w:t>Le principali novità del Decreto legislativo 73/2020</w:t>
      </w:r>
    </w:p>
    <w:p w14:paraId="6AC84770" w14:textId="3631ACC2" w:rsidR="005276B5" w:rsidRPr="00315091" w:rsidRDefault="005276B5" w:rsidP="00315091">
      <w:pPr>
        <w:shd w:val="clear" w:color="auto" w:fill="FFFFFF"/>
        <w:jc w:val="both"/>
        <w:rPr>
          <w:rFonts w:asciiTheme="minorHAnsi" w:hAnsiTheme="minorHAnsi" w:cstheme="minorHAnsi"/>
          <w:b/>
          <w:bCs/>
          <w:sz w:val="22"/>
          <w:szCs w:val="22"/>
        </w:rPr>
      </w:pPr>
    </w:p>
    <w:p w14:paraId="2ABD6E3D" w14:textId="664AEC54" w:rsidR="00572EC8" w:rsidRPr="00315091" w:rsidRDefault="00572EC8" w:rsidP="00315091">
      <w:pPr>
        <w:shd w:val="clear" w:color="auto" w:fill="FFFFFF"/>
        <w:jc w:val="both"/>
        <w:rPr>
          <w:rFonts w:asciiTheme="minorHAnsi" w:hAnsiTheme="minorHAnsi" w:cstheme="minorHAnsi"/>
          <w:b/>
          <w:bCs/>
          <w:sz w:val="22"/>
          <w:szCs w:val="22"/>
        </w:rPr>
      </w:pPr>
    </w:p>
    <w:p w14:paraId="23D231C2" w14:textId="77777777" w:rsidR="00315091" w:rsidRPr="00315091" w:rsidRDefault="00315091" w:rsidP="00315091">
      <w:pPr>
        <w:pStyle w:val="NormaleWeb"/>
        <w:shd w:val="clear" w:color="auto" w:fill="FFFFFF"/>
        <w:jc w:val="both"/>
        <w:textAlignment w:val="baseline"/>
        <w:rPr>
          <w:rFonts w:asciiTheme="minorHAnsi" w:hAnsiTheme="minorHAnsi" w:cstheme="minorHAnsi"/>
          <w:sz w:val="22"/>
          <w:szCs w:val="22"/>
        </w:rPr>
      </w:pPr>
      <w:r w:rsidRPr="00315091">
        <w:rPr>
          <w:rFonts w:asciiTheme="minorHAnsi" w:hAnsiTheme="minorHAnsi" w:cstheme="minorHAnsi"/>
          <w:sz w:val="22"/>
          <w:szCs w:val="22"/>
        </w:rPr>
        <w:t>Il </w:t>
      </w:r>
      <w:hyperlink r:id="rId7" w:history="1">
        <w:r w:rsidRPr="00315091">
          <w:rPr>
            <w:rStyle w:val="Collegamentoipertestuale"/>
            <w:rFonts w:asciiTheme="minorHAnsi" w:hAnsiTheme="minorHAnsi" w:cstheme="minorHAnsi"/>
            <w:color w:val="0033CC"/>
            <w:sz w:val="22"/>
            <w:szCs w:val="22"/>
            <w:bdr w:val="none" w:sz="0" w:space="0" w:color="auto" w:frame="1"/>
          </w:rPr>
          <w:t>Decreto legislativo 73/2020</w:t>
        </w:r>
      </w:hyperlink>
      <w:r w:rsidRPr="00315091">
        <w:rPr>
          <w:rFonts w:asciiTheme="minorHAnsi" w:hAnsiTheme="minorHAnsi" w:cstheme="minorHAnsi"/>
          <w:sz w:val="22"/>
          <w:szCs w:val="22"/>
        </w:rPr>
        <w:t>, di attuazione della Direttiva europea 2018/2002 che modifica la Direttiva 2012/27 sull’efficienza energetica, ha la finalità di promuovere ulteriormente la dimensione dell’</w:t>
      </w:r>
      <w:r w:rsidRPr="00315091">
        <w:rPr>
          <w:rStyle w:val="Enfasigrassetto"/>
          <w:rFonts w:asciiTheme="minorHAnsi" w:hAnsiTheme="minorHAnsi" w:cstheme="minorHAnsi"/>
          <w:sz w:val="22"/>
          <w:szCs w:val="22"/>
          <w:bdr w:val="none" w:sz="0" w:space="0" w:color="auto" w:frame="1"/>
        </w:rPr>
        <w:t>efficienza energetica</w:t>
      </w:r>
      <w:r w:rsidRPr="00315091">
        <w:rPr>
          <w:rFonts w:asciiTheme="minorHAnsi" w:hAnsiTheme="minorHAnsi" w:cstheme="minorHAnsi"/>
          <w:sz w:val="22"/>
          <w:szCs w:val="22"/>
        </w:rPr>
        <w:t>, secondo il principio europeo che la pone al “</w:t>
      </w:r>
      <w:r w:rsidRPr="00315091">
        <w:rPr>
          <w:rStyle w:val="Enfasigrassetto"/>
          <w:rFonts w:asciiTheme="minorHAnsi" w:hAnsiTheme="minorHAnsi" w:cstheme="minorHAnsi"/>
          <w:sz w:val="22"/>
          <w:szCs w:val="22"/>
          <w:bdr w:val="none" w:sz="0" w:space="0" w:color="auto" w:frame="1"/>
        </w:rPr>
        <w:t>primo posto</w:t>
      </w:r>
      <w:r w:rsidRPr="00315091">
        <w:rPr>
          <w:rFonts w:asciiTheme="minorHAnsi" w:hAnsiTheme="minorHAnsi" w:cstheme="minorHAnsi"/>
          <w:sz w:val="22"/>
          <w:szCs w:val="22"/>
        </w:rPr>
        <w:t>”. La Commissione Europea ha posto infatti l’efficienza energetica come obiettivo prioritario e, per questo, ha proposto un target a livello europeo per il 2030 più ambizioso di quello concordato dal Consiglio Europeo di ottobre 2014: almeno il 32,5% per il 2030, con natura vincolante.</w:t>
      </w:r>
    </w:p>
    <w:p w14:paraId="5057A02B" w14:textId="77777777" w:rsidR="00315091" w:rsidRDefault="00315091" w:rsidP="00315091">
      <w:pPr>
        <w:pStyle w:val="NormaleWeb"/>
        <w:shd w:val="clear" w:color="auto" w:fill="FFFFFF"/>
        <w:jc w:val="both"/>
        <w:textAlignment w:val="baseline"/>
        <w:rPr>
          <w:rFonts w:asciiTheme="minorHAnsi" w:hAnsiTheme="minorHAnsi" w:cstheme="minorHAnsi"/>
          <w:sz w:val="22"/>
          <w:szCs w:val="22"/>
        </w:rPr>
      </w:pPr>
    </w:p>
    <w:p w14:paraId="51CBB173" w14:textId="0DF02211" w:rsidR="00315091" w:rsidRPr="00315091" w:rsidRDefault="00315091" w:rsidP="00315091">
      <w:pPr>
        <w:pStyle w:val="NormaleWeb"/>
        <w:shd w:val="clear" w:color="auto" w:fill="FFFFFF"/>
        <w:jc w:val="both"/>
        <w:textAlignment w:val="baseline"/>
        <w:rPr>
          <w:rFonts w:asciiTheme="minorHAnsi" w:hAnsiTheme="minorHAnsi" w:cstheme="minorHAnsi"/>
          <w:sz w:val="22"/>
          <w:szCs w:val="22"/>
        </w:rPr>
      </w:pPr>
      <w:r w:rsidRPr="00315091">
        <w:rPr>
          <w:rFonts w:asciiTheme="minorHAnsi" w:hAnsiTheme="minorHAnsi" w:cstheme="minorHAnsi"/>
          <w:sz w:val="22"/>
          <w:szCs w:val="22"/>
        </w:rPr>
        <w:t>Tra le modifiche e integrazioni, quelle di interesse per il settore riguardano:</w:t>
      </w:r>
    </w:p>
    <w:p w14:paraId="0E6357AE" w14:textId="77777777" w:rsidR="00315091" w:rsidRPr="00315091" w:rsidRDefault="00315091" w:rsidP="00315091">
      <w:pPr>
        <w:numPr>
          <w:ilvl w:val="0"/>
          <w:numId w:val="14"/>
        </w:numPr>
        <w:shd w:val="clear" w:color="auto" w:fill="FFFFFF"/>
        <w:jc w:val="both"/>
        <w:textAlignment w:val="baseline"/>
        <w:rPr>
          <w:rFonts w:asciiTheme="minorHAnsi" w:hAnsiTheme="minorHAnsi" w:cstheme="minorHAnsi"/>
          <w:sz w:val="22"/>
          <w:szCs w:val="22"/>
        </w:rPr>
      </w:pPr>
      <w:r w:rsidRPr="00315091">
        <w:rPr>
          <w:rFonts w:asciiTheme="minorHAnsi" w:hAnsiTheme="minorHAnsi" w:cstheme="minorHAnsi"/>
          <w:sz w:val="22"/>
          <w:szCs w:val="22"/>
        </w:rPr>
        <w:t>l’estensione dell’</w:t>
      </w:r>
      <w:r w:rsidRPr="00315091">
        <w:rPr>
          <w:rStyle w:val="Enfasigrassetto"/>
          <w:rFonts w:asciiTheme="minorHAnsi" w:hAnsiTheme="minorHAnsi" w:cstheme="minorHAnsi"/>
          <w:sz w:val="22"/>
          <w:szCs w:val="22"/>
          <w:bdr w:val="none" w:sz="0" w:space="0" w:color="auto" w:frame="1"/>
        </w:rPr>
        <w:t>obbligo di risparmio energetico </w:t>
      </w:r>
      <w:r w:rsidRPr="00315091">
        <w:rPr>
          <w:rFonts w:asciiTheme="minorHAnsi" w:hAnsiTheme="minorHAnsi" w:cstheme="minorHAnsi"/>
          <w:sz w:val="22"/>
          <w:szCs w:val="22"/>
        </w:rPr>
        <w:t xml:space="preserve">al periodo 2021-2030, quantificato e inserito dall’Italia nel Piano nazionale integrato per l’energia e il clima (PNIEC) (art. 3, comma 1 del decreto 102/2014 così come modificato dal </w:t>
      </w:r>
      <w:proofErr w:type="spellStart"/>
      <w:r w:rsidRPr="00315091">
        <w:rPr>
          <w:rFonts w:asciiTheme="minorHAnsi" w:hAnsiTheme="minorHAnsi" w:cstheme="minorHAnsi"/>
          <w:sz w:val="22"/>
          <w:szCs w:val="22"/>
        </w:rPr>
        <w:t>d.lgs</w:t>
      </w:r>
      <w:proofErr w:type="spellEnd"/>
      <w:r w:rsidRPr="00315091">
        <w:rPr>
          <w:rFonts w:asciiTheme="minorHAnsi" w:hAnsiTheme="minorHAnsi" w:cstheme="minorHAnsi"/>
          <w:sz w:val="22"/>
          <w:szCs w:val="22"/>
        </w:rPr>
        <w:t xml:space="preserve"> 73/2020);</w:t>
      </w:r>
    </w:p>
    <w:p w14:paraId="14276BF4" w14:textId="77777777" w:rsidR="00315091" w:rsidRPr="00315091" w:rsidRDefault="00315091" w:rsidP="00315091">
      <w:pPr>
        <w:numPr>
          <w:ilvl w:val="0"/>
          <w:numId w:val="14"/>
        </w:numPr>
        <w:shd w:val="clear" w:color="auto" w:fill="FFFFFF"/>
        <w:jc w:val="both"/>
        <w:textAlignment w:val="baseline"/>
        <w:rPr>
          <w:rFonts w:asciiTheme="minorHAnsi" w:hAnsiTheme="minorHAnsi" w:cstheme="minorHAnsi"/>
          <w:sz w:val="22"/>
          <w:szCs w:val="22"/>
        </w:rPr>
      </w:pPr>
      <w:r w:rsidRPr="00315091">
        <w:rPr>
          <w:rFonts w:asciiTheme="minorHAnsi" w:hAnsiTheme="minorHAnsi" w:cstheme="minorHAnsi"/>
          <w:sz w:val="22"/>
          <w:szCs w:val="22"/>
        </w:rPr>
        <w:t xml:space="preserve">l’istituzione di un apposito portale informatico per la gestione delle proposte di intervento per la riqualificazione energetica degli immobili delle Pubbliche Amministrazioni centrali e della relativa documentazione </w:t>
      </w:r>
      <w:proofErr w:type="gramStart"/>
      <w:r w:rsidRPr="00315091">
        <w:rPr>
          <w:rFonts w:asciiTheme="minorHAnsi" w:hAnsiTheme="minorHAnsi" w:cstheme="minorHAnsi"/>
          <w:sz w:val="22"/>
          <w:szCs w:val="22"/>
        </w:rPr>
        <w:t>ed</w:t>
      </w:r>
      <w:proofErr w:type="gramEnd"/>
      <w:r w:rsidRPr="00315091">
        <w:rPr>
          <w:rFonts w:asciiTheme="minorHAnsi" w:hAnsiTheme="minorHAnsi" w:cstheme="minorHAnsi"/>
          <w:sz w:val="22"/>
          <w:szCs w:val="22"/>
        </w:rPr>
        <w:t xml:space="preserve"> adempimenti richiesti (art. 5, comma 3 bis del decreto 102/2014 così come modificato dal </w:t>
      </w:r>
      <w:proofErr w:type="spellStart"/>
      <w:r w:rsidRPr="00315091">
        <w:rPr>
          <w:rFonts w:asciiTheme="minorHAnsi" w:hAnsiTheme="minorHAnsi" w:cstheme="minorHAnsi"/>
          <w:sz w:val="22"/>
          <w:szCs w:val="22"/>
        </w:rPr>
        <w:t>d.lgs</w:t>
      </w:r>
      <w:proofErr w:type="spellEnd"/>
      <w:r w:rsidRPr="00315091">
        <w:rPr>
          <w:rFonts w:asciiTheme="minorHAnsi" w:hAnsiTheme="minorHAnsi" w:cstheme="minorHAnsi"/>
          <w:sz w:val="22"/>
          <w:szCs w:val="22"/>
        </w:rPr>
        <w:t xml:space="preserve"> 73/2020);</w:t>
      </w:r>
    </w:p>
    <w:p w14:paraId="47653CE4" w14:textId="77777777" w:rsidR="00315091" w:rsidRPr="00315091" w:rsidRDefault="00315091" w:rsidP="00315091">
      <w:pPr>
        <w:numPr>
          <w:ilvl w:val="0"/>
          <w:numId w:val="14"/>
        </w:numPr>
        <w:shd w:val="clear" w:color="auto" w:fill="FFFFFF"/>
        <w:jc w:val="both"/>
        <w:textAlignment w:val="baseline"/>
        <w:rPr>
          <w:rFonts w:asciiTheme="minorHAnsi" w:hAnsiTheme="minorHAnsi" w:cstheme="minorHAnsi"/>
          <w:sz w:val="22"/>
          <w:szCs w:val="22"/>
        </w:rPr>
      </w:pPr>
      <w:r w:rsidRPr="00315091">
        <w:rPr>
          <w:rFonts w:asciiTheme="minorHAnsi" w:hAnsiTheme="minorHAnsi" w:cstheme="minorHAnsi"/>
          <w:sz w:val="22"/>
          <w:szCs w:val="22"/>
        </w:rPr>
        <w:t xml:space="preserve">la predisposizione di programmi per il finanziamento di interventi di miglioramento della prestazione energetica degli immobili della pubblica amministrazione, con particolare riferimento agli immobili ospedalieri, scolastici e universitari, agli impianti sportivi e all’edilizia residenziale pubblica (art. 5, comma 11 bis del decreto 102/2014 così come modificato dal </w:t>
      </w:r>
      <w:proofErr w:type="spellStart"/>
      <w:r w:rsidRPr="00315091">
        <w:rPr>
          <w:rFonts w:asciiTheme="minorHAnsi" w:hAnsiTheme="minorHAnsi" w:cstheme="minorHAnsi"/>
          <w:sz w:val="22"/>
          <w:szCs w:val="22"/>
        </w:rPr>
        <w:t>d.lgs</w:t>
      </w:r>
      <w:proofErr w:type="spellEnd"/>
      <w:r w:rsidRPr="00315091">
        <w:rPr>
          <w:rFonts w:asciiTheme="minorHAnsi" w:hAnsiTheme="minorHAnsi" w:cstheme="minorHAnsi"/>
          <w:sz w:val="22"/>
          <w:szCs w:val="22"/>
        </w:rPr>
        <w:t xml:space="preserve"> 73/2020);</w:t>
      </w:r>
    </w:p>
    <w:p w14:paraId="11DDDB16" w14:textId="77777777" w:rsidR="00315091" w:rsidRPr="00315091" w:rsidRDefault="00315091" w:rsidP="00315091">
      <w:pPr>
        <w:numPr>
          <w:ilvl w:val="0"/>
          <w:numId w:val="14"/>
        </w:numPr>
        <w:shd w:val="clear" w:color="auto" w:fill="FFFFFF"/>
        <w:jc w:val="both"/>
        <w:textAlignment w:val="baseline"/>
        <w:rPr>
          <w:rFonts w:asciiTheme="minorHAnsi" w:hAnsiTheme="minorHAnsi" w:cstheme="minorHAnsi"/>
          <w:sz w:val="22"/>
          <w:szCs w:val="22"/>
        </w:rPr>
      </w:pPr>
      <w:r w:rsidRPr="00315091">
        <w:rPr>
          <w:rFonts w:asciiTheme="minorHAnsi" w:hAnsiTheme="minorHAnsi" w:cstheme="minorHAnsi"/>
          <w:sz w:val="22"/>
          <w:szCs w:val="22"/>
        </w:rPr>
        <w:t xml:space="preserve">l’estensione dello stanziamento di risorse del Programma per la Riqualificazione Energetica degli edifici della Pubblica Amministrazione Centrale (PREPAC) fino al </w:t>
      </w:r>
      <w:proofErr w:type="gramStart"/>
      <w:r w:rsidRPr="00315091">
        <w:rPr>
          <w:rFonts w:asciiTheme="minorHAnsi" w:hAnsiTheme="minorHAnsi" w:cstheme="minorHAnsi"/>
          <w:sz w:val="22"/>
          <w:szCs w:val="22"/>
        </w:rPr>
        <w:t>2030,  incrementandolo</w:t>
      </w:r>
      <w:proofErr w:type="gramEnd"/>
      <w:r w:rsidRPr="00315091">
        <w:rPr>
          <w:rFonts w:asciiTheme="minorHAnsi" w:hAnsiTheme="minorHAnsi" w:cstheme="minorHAnsi"/>
          <w:sz w:val="22"/>
          <w:szCs w:val="22"/>
        </w:rPr>
        <w:t xml:space="preserve"> da 30 fino a 50 milioni di euro annui per il periodo 2021-2030 a valere sulle risorse derivanti dai proventi delle aste per la vendita delle quote di CO2 nel settore ETS (art. 5, comma 12 del decreto 102/2014 così come modificato dal </w:t>
      </w:r>
      <w:proofErr w:type="spellStart"/>
      <w:r w:rsidRPr="00315091">
        <w:rPr>
          <w:rFonts w:asciiTheme="minorHAnsi" w:hAnsiTheme="minorHAnsi" w:cstheme="minorHAnsi"/>
          <w:sz w:val="22"/>
          <w:szCs w:val="22"/>
        </w:rPr>
        <w:t>d.lgs</w:t>
      </w:r>
      <w:proofErr w:type="spellEnd"/>
      <w:r w:rsidRPr="00315091">
        <w:rPr>
          <w:rFonts w:asciiTheme="minorHAnsi" w:hAnsiTheme="minorHAnsi" w:cstheme="minorHAnsi"/>
          <w:sz w:val="22"/>
          <w:szCs w:val="22"/>
        </w:rPr>
        <w:t xml:space="preserve"> 73/2020 );</w:t>
      </w:r>
    </w:p>
    <w:p w14:paraId="072A8FD2" w14:textId="77777777" w:rsidR="00315091" w:rsidRPr="00315091" w:rsidRDefault="00315091" w:rsidP="00315091">
      <w:pPr>
        <w:numPr>
          <w:ilvl w:val="0"/>
          <w:numId w:val="14"/>
        </w:numPr>
        <w:shd w:val="clear" w:color="auto" w:fill="FFFFFF"/>
        <w:jc w:val="both"/>
        <w:textAlignment w:val="baseline"/>
        <w:rPr>
          <w:rFonts w:asciiTheme="minorHAnsi" w:hAnsiTheme="minorHAnsi" w:cstheme="minorHAnsi"/>
          <w:sz w:val="22"/>
          <w:szCs w:val="22"/>
        </w:rPr>
      </w:pPr>
      <w:r w:rsidRPr="00315091">
        <w:rPr>
          <w:rFonts w:asciiTheme="minorHAnsi" w:hAnsiTheme="minorHAnsi" w:cstheme="minorHAnsi"/>
          <w:sz w:val="22"/>
          <w:szCs w:val="22"/>
        </w:rPr>
        <w:t xml:space="preserve">la verifica del rispetto dei requisiti minimi di efficienza energetica per gli immobili delle pubbliche amministrazioni, allorché acquistati o locati, non più attraverso l’attestato di prestazione energetica ma mediante la relazione tecnica di cui al comma 1 dell’articolo 8 del decreto legislativo 19 agosto 2005, n. 192 (art. 6, comma 1-bis. del decreto 102/2014 così come modificato dal </w:t>
      </w:r>
      <w:proofErr w:type="spellStart"/>
      <w:r w:rsidRPr="00315091">
        <w:rPr>
          <w:rFonts w:asciiTheme="minorHAnsi" w:hAnsiTheme="minorHAnsi" w:cstheme="minorHAnsi"/>
          <w:sz w:val="22"/>
          <w:szCs w:val="22"/>
        </w:rPr>
        <w:t>d.lgs</w:t>
      </w:r>
      <w:proofErr w:type="spellEnd"/>
      <w:r w:rsidRPr="00315091">
        <w:rPr>
          <w:rFonts w:asciiTheme="minorHAnsi" w:hAnsiTheme="minorHAnsi" w:cstheme="minorHAnsi"/>
          <w:sz w:val="22"/>
          <w:szCs w:val="22"/>
        </w:rPr>
        <w:t xml:space="preserve"> 73/2020);</w:t>
      </w:r>
    </w:p>
    <w:p w14:paraId="06DC20F1" w14:textId="77777777" w:rsidR="00315091" w:rsidRPr="00315091" w:rsidRDefault="00315091" w:rsidP="00315091">
      <w:pPr>
        <w:numPr>
          <w:ilvl w:val="0"/>
          <w:numId w:val="14"/>
        </w:numPr>
        <w:shd w:val="clear" w:color="auto" w:fill="FFFFFF"/>
        <w:jc w:val="both"/>
        <w:textAlignment w:val="baseline"/>
        <w:rPr>
          <w:rFonts w:asciiTheme="minorHAnsi" w:hAnsiTheme="minorHAnsi" w:cstheme="minorHAnsi"/>
          <w:sz w:val="22"/>
          <w:szCs w:val="22"/>
        </w:rPr>
      </w:pPr>
      <w:r w:rsidRPr="00315091">
        <w:rPr>
          <w:rFonts w:asciiTheme="minorHAnsi" w:hAnsiTheme="minorHAnsi" w:cstheme="minorHAnsi"/>
          <w:sz w:val="22"/>
          <w:szCs w:val="22"/>
        </w:rPr>
        <w:t xml:space="preserve">le disposizioni per l’aggiornamento degli strumenti finalizzati a generare risparmi, quali i certificati bianchi e il conto termico (art. 7, commi 3 e 4 del decreto 102/2014 così come modificato dal </w:t>
      </w:r>
      <w:proofErr w:type="spellStart"/>
      <w:r w:rsidRPr="00315091">
        <w:rPr>
          <w:rFonts w:asciiTheme="minorHAnsi" w:hAnsiTheme="minorHAnsi" w:cstheme="minorHAnsi"/>
          <w:sz w:val="22"/>
          <w:szCs w:val="22"/>
        </w:rPr>
        <w:t>d.lgs</w:t>
      </w:r>
      <w:proofErr w:type="spellEnd"/>
      <w:r w:rsidRPr="00315091">
        <w:rPr>
          <w:rFonts w:asciiTheme="minorHAnsi" w:hAnsiTheme="minorHAnsi" w:cstheme="minorHAnsi"/>
          <w:sz w:val="22"/>
          <w:szCs w:val="22"/>
        </w:rPr>
        <w:t xml:space="preserve"> 73/2020).</w:t>
      </w:r>
    </w:p>
    <w:p w14:paraId="7793787B" w14:textId="77777777" w:rsidR="00315091" w:rsidRDefault="00315091" w:rsidP="00315091">
      <w:pPr>
        <w:pStyle w:val="NormaleWeb"/>
        <w:shd w:val="clear" w:color="auto" w:fill="FFFFFF"/>
        <w:jc w:val="both"/>
        <w:textAlignment w:val="baseline"/>
        <w:rPr>
          <w:rFonts w:asciiTheme="minorHAnsi" w:hAnsiTheme="minorHAnsi" w:cstheme="minorHAnsi"/>
          <w:sz w:val="22"/>
          <w:szCs w:val="22"/>
        </w:rPr>
      </w:pPr>
    </w:p>
    <w:p w14:paraId="45E87320" w14:textId="4CA88217" w:rsidR="00315091" w:rsidRPr="00315091" w:rsidRDefault="00315091" w:rsidP="00315091">
      <w:pPr>
        <w:pStyle w:val="NormaleWeb"/>
        <w:shd w:val="clear" w:color="auto" w:fill="FFFFFF"/>
        <w:jc w:val="both"/>
        <w:textAlignment w:val="baseline"/>
        <w:rPr>
          <w:rFonts w:asciiTheme="minorHAnsi" w:hAnsiTheme="minorHAnsi" w:cstheme="minorHAnsi"/>
          <w:sz w:val="22"/>
          <w:szCs w:val="22"/>
        </w:rPr>
      </w:pPr>
      <w:r w:rsidRPr="00315091">
        <w:rPr>
          <w:rFonts w:asciiTheme="minorHAnsi" w:hAnsiTheme="minorHAnsi" w:cstheme="minorHAnsi"/>
          <w:sz w:val="22"/>
          <w:szCs w:val="22"/>
        </w:rPr>
        <w:t>Quindi per i </w:t>
      </w:r>
      <w:r w:rsidRPr="00315091">
        <w:rPr>
          <w:rStyle w:val="Enfasigrassetto"/>
          <w:rFonts w:asciiTheme="minorHAnsi" w:hAnsiTheme="minorHAnsi" w:cstheme="minorHAnsi"/>
          <w:sz w:val="22"/>
          <w:szCs w:val="22"/>
          <w:bdr w:val="none" w:sz="0" w:space="0" w:color="auto" w:frame="1"/>
        </w:rPr>
        <w:t>certificati bianchi</w:t>
      </w:r>
      <w:r w:rsidRPr="00315091">
        <w:rPr>
          <w:rFonts w:asciiTheme="minorHAnsi" w:hAnsiTheme="minorHAnsi" w:cstheme="minorHAnsi"/>
          <w:sz w:val="22"/>
          <w:szCs w:val="22"/>
        </w:rPr>
        <w:t>, si potranno prevedere:</w:t>
      </w:r>
    </w:p>
    <w:p w14:paraId="01956799" w14:textId="77777777" w:rsidR="00315091" w:rsidRPr="00315091" w:rsidRDefault="00315091" w:rsidP="00315091">
      <w:pPr>
        <w:numPr>
          <w:ilvl w:val="0"/>
          <w:numId w:val="15"/>
        </w:numPr>
        <w:shd w:val="clear" w:color="auto" w:fill="FFFFFF"/>
        <w:tabs>
          <w:tab w:val="clear" w:pos="720"/>
        </w:tabs>
        <w:ind w:hanging="153"/>
        <w:jc w:val="both"/>
        <w:textAlignment w:val="baseline"/>
        <w:rPr>
          <w:rFonts w:asciiTheme="minorHAnsi" w:hAnsiTheme="minorHAnsi" w:cstheme="minorHAnsi"/>
          <w:sz w:val="22"/>
          <w:szCs w:val="22"/>
        </w:rPr>
      </w:pPr>
      <w:r w:rsidRPr="00315091">
        <w:rPr>
          <w:rFonts w:asciiTheme="minorHAnsi" w:hAnsiTheme="minorHAnsi" w:cstheme="minorHAnsi"/>
          <w:sz w:val="22"/>
          <w:szCs w:val="22"/>
        </w:rPr>
        <w:t>modalità alternative o aggiuntive di conseguimento dei risultati e di attribuzione dei benefici, nonché sue eventuali dilazioni;</w:t>
      </w:r>
    </w:p>
    <w:p w14:paraId="5BB40B4F" w14:textId="77777777" w:rsidR="00315091" w:rsidRPr="00315091" w:rsidRDefault="00315091" w:rsidP="00315091">
      <w:pPr>
        <w:numPr>
          <w:ilvl w:val="0"/>
          <w:numId w:val="15"/>
        </w:numPr>
        <w:shd w:val="clear" w:color="auto" w:fill="FFFFFF"/>
        <w:tabs>
          <w:tab w:val="clear" w:pos="720"/>
        </w:tabs>
        <w:ind w:hanging="153"/>
        <w:jc w:val="both"/>
        <w:textAlignment w:val="baseline"/>
        <w:rPr>
          <w:rFonts w:asciiTheme="minorHAnsi" w:hAnsiTheme="minorHAnsi" w:cstheme="minorHAnsi"/>
          <w:sz w:val="22"/>
          <w:szCs w:val="22"/>
        </w:rPr>
      </w:pPr>
      <w:r w:rsidRPr="00315091">
        <w:rPr>
          <w:rFonts w:asciiTheme="minorHAnsi" w:hAnsiTheme="minorHAnsi" w:cstheme="minorHAnsi"/>
          <w:sz w:val="22"/>
          <w:szCs w:val="22"/>
        </w:rPr>
        <w:t>un’estensione o una variazione dell’ambito dei soggetti obbligati;</w:t>
      </w:r>
    </w:p>
    <w:p w14:paraId="2522AE6B" w14:textId="77777777" w:rsidR="00315091" w:rsidRPr="00315091" w:rsidRDefault="00315091" w:rsidP="00315091">
      <w:pPr>
        <w:numPr>
          <w:ilvl w:val="0"/>
          <w:numId w:val="15"/>
        </w:numPr>
        <w:shd w:val="clear" w:color="auto" w:fill="FFFFFF"/>
        <w:tabs>
          <w:tab w:val="clear" w:pos="720"/>
        </w:tabs>
        <w:ind w:hanging="153"/>
        <w:jc w:val="both"/>
        <w:textAlignment w:val="baseline"/>
        <w:rPr>
          <w:rFonts w:asciiTheme="minorHAnsi" w:hAnsiTheme="minorHAnsi" w:cstheme="minorHAnsi"/>
          <w:sz w:val="22"/>
          <w:szCs w:val="22"/>
        </w:rPr>
      </w:pPr>
      <w:r w:rsidRPr="00315091">
        <w:rPr>
          <w:rFonts w:asciiTheme="minorHAnsi" w:hAnsiTheme="minorHAnsi" w:cstheme="minorHAnsi"/>
          <w:sz w:val="22"/>
          <w:szCs w:val="22"/>
        </w:rPr>
        <w:t>misure per l’incremento dei progetti presentati, per semplificare l’accesso diretto da parte dei beneficiari agli incentivi concessi, o per tener conto di nuovi strumenti concorrenti nel frattempo introdotti.</w:t>
      </w:r>
    </w:p>
    <w:p w14:paraId="67B42237" w14:textId="77777777" w:rsidR="00315091" w:rsidRDefault="00315091" w:rsidP="00315091">
      <w:pPr>
        <w:pStyle w:val="NormaleWeb"/>
        <w:shd w:val="clear" w:color="auto" w:fill="FFFFFF"/>
        <w:jc w:val="both"/>
        <w:textAlignment w:val="baseline"/>
        <w:rPr>
          <w:rFonts w:asciiTheme="minorHAnsi" w:hAnsiTheme="minorHAnsi" w:cstheme="minorHAnsi"/>
          <w:sz w:val="22"/>
          <w:szCs w:val="22"/>
        </w:rPr>
      </w:pPr>
    </w:p>
    <w:p w14:paraId="3E8A0035" w14:textId="6F81F580" w:rsidR="00315091" w:rsidRPr="00315091" w:rsidRDefault="00315091" w:rsidP="00315091">
      <w:pPr>
        <w:pStyle w:val="NormaleWeb"/>
        <w:shd w:val="clear" w:color="auto" w:fill="FFFFFF"/>
        <w:jc w:val="both"/>
        <w:textAlignment w:val="baseline"/>
        <w:rPr>
          <w:rFonts w:asciiTheme="minorHAnsi" w:hAnsiTheme="minorHAnsi" w:cstheme="minorHAnsi"/>
          <w:sz w:val="22"/>
          <w:szCs w:val="22"/>
        </w:rPr>
      </w:pPr>
      <w:r w:rsidRPr="00315091">
        <w:rPr>
          <w:rFonts w:asciiTheme="minorHAnsi" w:hAnsiTheme="minorHAnsi" w:cstheme="minorHAnsi"/>
          <w:sz w:val="22"/>
          <w:szCs w:val="22"/>
        </w:rPr>
        <w:t>Mentre l’aggiornamento del </w:t>
      </w:r>
      <w:r w:rsidRPr="00315091">
        <w:rPr>
          <w:rStyle w:val="Enfasigrassetto"/>
          <w:rFonts w:asciiTheme="minorHAnsi" w:hAnsiTheme="minorHAnsi" w:cstheme="minorHAnsi"/>
          <w:sz w:val="22"/>
          <w:szCs w:val="22"/>
          <w:bdr w:val="none" w:sz="0" w:space="0" w:color="auto" w:frame="1"/>
        </w:rPr>
        <w:t>Conto Termico</w:t>
      </w:r>
      <w:r w:rsidRPr="00315091">
        <w:rPr>
          <w:rFonts w:asciiTheme="minorHAnsi" w:hAnsiTheme="minorHAnsi" w:cstheme="minorHAnsi"/>
          <w:sz w:val="22"/>
          <w:szCs w:val="22"/>
        </w:rPr>
        <w:t xml:space="preserve">, che dovrà essere effettuato entro il 30 giugno 2021, terrà conto della necessità di adeguare in modo specialistico il meccanismo nel settore civile non </w:t>
      </w:r>
      <w:r w:rsidRPr="00315091">
        <w:rPr>
          <w:rFonts w:asciiTheme="minorHAnsi" w:hAnsiTheme="minorHAnsi" w:cstheme="minorHAnsi"/>
          <w:sz w:val="22"/>
          <w:szCs w:val="22"/>
        </w:rPr>
        <w:lastRenderedPageBreak/>
        <w:t xml:space="preserve">residenziale, sia pubblico che privato, nonché dell’esigenza di semplificare l’accesso al meccanismo da parte della pubblica amministrazione e dei privati, anche attraverso la promozione e l’utilizzo di contratti di tipo EPC, e dell’opportunità di ampliare gli interventi ammissibili, quali ad esempio, gli interventi di allaccio a sistemi di teleriscaldamento e </w:t>
      </w:r>
      <w:proofErr w:type="spellStart"/>
      <w:r w:rsidRPr="00315091">
        <w:rPr>
          <w:rFonts w:asciiTheme="minorHAnsi" w:hAnsiTheme="minorHAnsi" w:cstheme="minorHAnsi"/>
          <w:sz w:val="22"/>
          <w:szCs w:val="22"/>
        </w:rPr>
        <w:t>teleraffrescamento</w:t>
      </w:r>
      <w:proofErr w:type="spellEnd"/>
      <w:r w:rsidRPr="00315091">
        <w:rPr>
          <w:rFonts w:asciiTheme="minorHAnsi" w:hAnsiTheme="minorHAnsi" w:cstheme="minorHAnsi"/>
          <w:sz w:val="22"/>
          <w:szCs w:val="22"/>
        </w:rPr>
        <w:t xml:space="preserve"> efficiente e l’installazione di impianti di microcogenerazione. Viene anche specificato che tale aggiornamento dovrà tenere conto delle disposizioni di cui al Piano d’azione per il miglioramento della qualità dell’aria</w:t>
      </w:r>
      <w:hyperlink r:id="rId8" w:anchor="_ftn1" w:history="1">
        <w:r w:rsidRPr="00766FFC">
          <w:rPr>
            <w:rStyle w:val="Collegamentoipertestuale"/>
            <w:rFonts w:asciiTheme="minorHAnsi" w:hAnsiTheme="minorHAnsi" w:cstheme="minorHAnsi"/>
            <w:b/>
            <w:bCs/>
            <w:color w:val="0033CC"/>
            <w:sz w:val="22"/>
            <w:szCs w:val="22"/>
            <w:bdr w:val="none" w:sz="0" w:space="0" w:color="auto" w:frame="1"/>
            <w:vertAlign w:val="superscript"/>
          </w:rPr>
          <w:t>[1]</w:t>
        </w:r>
      </w:hyperlink>
      <w:r w:rsidRPr="00315091">
        <w:rPr>
          <w:rFonts w:asciiTheme="minorHAnsi" w:hAnsiTheme="minorHAnsi" w:cstheme="minorHAnsi"/>
          <w:sz w:val="22"/>
          <w:szCs w:val="22"/>
        </w:rPr>
        <w:t> e al Piano nazionale integrato per l’energia e il clima (PNIEC), con particolare riferimento alla necessità di:</w:t>
      </w:r>
    </w:p>
    <w:p w14:paraId="7FF0CF81" w14:textId="77777777" w:rsidR="00315091" w:rsidRDefault="00315091" w:rsidP="00315091">
      <w:pPr>
        <w:pStyle w:val="NormaleWeb"/>
        <w:shd w:val="clear" w:color="auto" w:fill="FFFFFF"/>
        <w:ind w:left="709" w:hanging="283"/>
        <w:jc w:val="both"/>
        <w:textAlignment w:val="baseline"/>
        <w:rPr>
          <w:rFonts w:asciiTheme="minorHAnsi" w:hAnsiTheme="minorHAnsi" w:cstheme="minorHAnsi"/>
          <w:sz w:val="22"/>
          <w:szCs w:val="22"/>
        </w:rPr>
      </w:pPr>
      <w:r w:rsidRPr="00315091">
        <w:rPr>
          <w:rFonts w:asciiTheme="minorHAnsi" w:hAnsiTheme="minorHAnsi" w:cstheme="minorHAnsi"/>
          <w:sz w:val="22"/>
          <w:szCs w:val="22"/>
        </w:rPr>
        <w:t>a) prevedere l’inclusione degli interventi di riqualificazione degli edifici del settore terziario privato;</w:t>
      </w:r>
    </w:p>
    <w:p w14:paraId="298117EE" w14:textId="77777777" w:rsidR="00315091" w:rsidRDefault="00315091" w:rsidP="00315091">
      <w:pPr>
        <w:pStyle w:val="NormaleWeb"/>
        <w:shd w:val="clear" w:color="auto" w:fill="FFFFFF"/>
        <w:ind w:left="709" w:hanging="283"/>
        <w:jc w:val="both"/>
        <w:textAlignment w:val="baseline"/>
        <w:rPr>
          <w:rFonts w:asciiTheme="minorHAnsi" w:hAnsiTheme="minorHAnsi" w:cstheme="minorHAnsi"/>
          <w:sz w:val="22"/>
          <w:szCs w:val="22"/>
        </w:rPr>
      </w:pPr>
      <w:r w:rsidRPr="00315091">
        <w:rPr>
          <w:rFonts w:asciiTheme="minorHAnsi" w:hAnsiTheme="minorHAnsi" w:cstheme="minorHAnsi"/>
          <w:sz w:val="22"/>
          <w:szCs w:val="22"/>
        </w:rPr>
        <w:t>b) ampliare, garantendo l’invarianza dei costi in bolletta a carico degli utenti, il contingente di spesa messo a disposizione delle Pubbliche Amministrazioni;</w:t>
      </w:r>
    </w:p>
    <w:p w14:paraId="73867392" w14:textId="77777777" w:rsidR="00315091" w:rsidRDefault="00315091" w:rsidP="00315091">
      <w:pPr>
        <w:pStyle w:val="NormaleWeb"/>
        <w:shd w:val="clear" w:color="auto" w:fill="FFFFFF"/>
        <w:ind w:left="709" w:hanging="283"/>
        <w:jc w:val="both"/>
        <w:textAlignment w:val="baseline"/>
        <w:rPr>
          <w:rFonts w:asciiTheme="minorHAnsi" w:hAnsiTheme="minorHAnsi" w:cstheme="minorHAnsi"/>
          <w:sz w:val="22"/>
          <w:szCs w:val="22"/>
        </w:rPr>
      </w:pPr>
      <w:r w:rsidRPr="00315091">
        <w:rPr>
          <w:rFonts w:asciiTheme="minorHAnsi" w:hAnsiTheme="minorHAnsi" w:cstheme="minorHAnsi"/>
          <w:sz w:val="22"/>
          <w:szCs w:val="22"/>
        </w:rPr>
        <w:t>c) rivedere le tempistiche relative alla realizzazione dei progetti da parte delle Pubbliche amministrazioni, al fine di renderle coerenti con le previsioni del decreto legislativo 18 aprile 2016, n. 50;</w:t>
      </w:r>
    </w:p>
    <w:p w14:paraId="4F36DA14" w14:textId="080C8F72" w:rsidR="00315091" w:rsidRDefault="00315091" w:rsidP="00315091">
      <w:pPr>
        <w:pStyle w:val="NormaleWeb"/>
        <w:shd w:val="clear" w:color="auto" w:fill="FFFFFF"/>
        <w:ind w:left="709" w:hanging="283"/>
        <w:jc w:val="both"/>
        <w:textAlignment w:val="baseline"/>
        <w:rPr>
          <w:rFonts w:asciiTheme="minorHAnsi" w:hAnsiTheme="minorHAnsi" w:cstheme="minorHAnsi"/>
          <w:sz w:val="22"/>
          <w:szCs w:val="22"/>
        </w:rPr>
      </w:pPr>
      <w:r w:rsidRPr="00315091">
        <w:rPr>
          <w:rFonts w:asciiTheme="minorHAnsi" w:hAnsiTheme="minorHAnsi" w:cstheme="minorHAnsi"/>
          <w:sz w:val="22"/>
          <w:szCs w:val="22"/>
        </w:rPr>
        <w:t>d) prevedere la possibilità, almeno nell’ambito degli interventi di riqualificazione profonda dell’edificio, di promuovere gli interventi di installazione di punti di ricarica per veicoli elettrici.</w:t>
      </w:r>
    </w:p>
    <w:p w14:paraId="64E7AF00" w14:textId="77777777" w:rsidR="00315091" w:rsidRPr="00315091" w:rsidRDefault="00315091" w:rsidP="00315091">
      <w:pPr>
        <w:pStyle w:val="NormaleWeb"/>
        <w:shd w:val="clear" w:color="auto" w:fill="FFFFFF"/>
        <w:jc w:val="both"/>
        <w:textAlignment w:val="baseline"/>
        <w:rPr>
          <w:rFonts w:asciiTheme="minorHAnsi" w:hAnsiTheme="minorHAnsi" w:cstheme="minorHAnsi"/>
          <w:sz w:val="22"/>
          <w:szCs w:val="22"/>
        </w:rPr>
      </w:pPr>
    </w:p>
    <w:p w14:paraId="06590F87" w14:textId="77777777" w:rsidR="00315091" w:rsidRPr="00315091" w:rsidRDefault="00315091" w:rsidP="00315091">
      <w:pPr>
        <w:numPr>
          <w:ilvl w:val="0"/>
          <w:numId w:val="16"/>
        </w:numPr>
        <w:shd w:val="clear" w:color="auto" w:fill="FFFFFF"/>
        <w:jc w:val="both"/>
        <w:textAlignment w:val="baseline"/>
        <w:rPr>
          <w:rFonts w:asciiTheme="minorHAnsi" w:hAnsiTheme="minorHAnsi" w:cstheme="minorHAnsi"/>
          <w:sz w:val="22"/>
          <w:szCs w:val="22"/>
        </w:rPr>
      </w:pPr>
      <w:r w:rsidRPr="00315091">
        <w:rPr>
          <w:rFonts w:asciiTheme="minorHAnsi" w:hAnsiTheme="minorHAnsi" w:cstheme="minorHAnsi"/>
          <w:sz w:val="22"/>
          <w:szCs w:val="22"/>
        </w:rPr>
        <w:t xml:space="preserve">lo scomputo, per la determinazione dei volumi, delle altezze, delle superfici e dei rapporti di copertura, del maggiore spessore delle murature esterne e degli elementi di chiusura superiori ed inferiori, necessario per ottenere una riduzione minima del 10% dei limiti di trasmittanza previsti dal </w:t>
      </w:r>
      <w:proofErr w:type="spellStart"/>
      <w:r w:rsidRPr="00315091">
        <w:rPr>
          <w:rFonts w:asciiTheme="minorHAnsi" w:hAnsiTheme="minorHAnsi" w:cstheme="minorHAnsi"/>
          <w:sz w:val="22"/>
          <w:szCs w:val="22"/>
        </w:rPr>
        <w:t>d.lgs</w:t>
      </w:r>
      <w:proofErr w:type="spellEnd"/>
      <w:r w:rsidRPr="00315091">
        <w:rPr>
          <w:rFonts w:asciiTheme="minorHAnsi" w:hAnsiTheme="minorHAnsi" w:cstheme="minorHAnsi"/>
          <w:sz w:val="22"/>
          <w:szCs w:val="22"/>
        </w:rPr>
        <w:t xml:space="preserve"> 192/2005 e </w:t>
      </w:r>
      <w:proofErr w:type="spellStart"/>
      <w:r w:rsidRPr="00315091">
        <w:rPr>
          <w:rFonts w:asciiTheme="minorHAnsi" w:hAnsiTheme="minorHAnsi" w:cstheme="minorHAnsi"/>
          <w:sz w:val="22"/>
          <w:szCs w:val="22"/>
        </w:rPr>
        <w:t>s.m.i.</w:t>
      </w:r>
      <w:proofErr w:type="spellEnd"/>
      <w:r w:rsidRPr="00315091">
        <w:rPr>
          <w:rFonts w:asciiTheme="minorHAnsi" w:hAnsiTheme="minorHAnsi" w:cstheme="minorHAnsi"/>
          <w:sz w:val="22"/>
          <w:szCs w:val="22"/>
        </w:rPr>
        <w:t xml:space="preserve">, nel caso di interventi di manutenzione straordinaria, restauro e ristrutturazione edilizia. Viene precisato che entro tali limiti del maggiore spessore è permesso derogare, nell’ambito delle pertinenti procedure di rilascio dei titoli abitativi (DPR n. 380/2001), a quanto previsto dalle normative nazionali, regionali o dai regolamenti edilizi comunali, in merito alle distanze minime tra edifici, alle distanze minime dai confini di proprietà, alle distanze minime di protezione del nastro stradale e ferroviario, nonché alle altezze massime degli edifici e che le deroghe vanno esercitate nel rispetto delle distanze minime riportate nel codice civile. </w:t>
      </w:r>
      <w:proofErr w:type="gramStart"/>
      <w:r w:rsidRPr="00315091">
        <w:rPr>
          <w:rFonts w:asciiTheme="minorHAnsi" w:hAnsiTheme="minorHAnsi" w:cstheme="minorHAnsi"/>
          <w:sz w:val="22"/>
          <w:szCs w:val="22"/>
        </w:rPr>
        <w:t>E’</w:t>
      </w:r>
      <w:proofErr w:type="gramEnd"/>
      <w:r w:rsidRPr="00315091">
        <w:rPr>
          <w:rFonts w:asciiTheme="minorHAnsi" w:hAnsiTheme="minorHAnsi" w:cstheme="minorHAnsi"/>
          <w:sz w:val="22"/>
          <w:szCs w:val="22"/>
        </w:rPr>
        <w:t xml:space="preserve"> stato quindi eliminato il riferimento alla misura massima di 25 centimetri per il maggiore spessore delle pareti verticali esterne, nonché alle altezze massime degli edifici, nella misura massima di 30 centimetri, per il maggior spessore degli elementi di copertura (art. 14, comma 7 del </w:t>
      </w:r>
      <w:proofErr w:type="spellStart"/>
      <w:r w:rsidRPr="00315091">
        <w:rPr>
          <w:rFonts w:asciiTheme="minorHAnsi" w:hAnsiTheme="minorHAnsi" w:cstheme="minorHAnsi"/>
          <w:sz w:val="22"/>
          <w:szCs w:val="22"/>
        </w:rPr>
        <w:t>d.lgs</w:t>
      </w:r>
      <w:proofErr w:type="spellEnd"/>
      <w:r w:rsidRPr="00315091">
        <w:rPr>
          <w:rFonts w:asciiTheme="minorHAnsi" w:hAnsiTheme="minorHAnsi" w:cstheme="minorHAnsi"/>
          <w:sz w:val="22"/>
          <w:szCs w:val="22"/>
        </w:rPr>
        <w:t xml:space="preserve"> 102/2014 così come modificato dal </w:t>
      </w:r>
      <w:proofErr w:type="spellStart"/>
      <w:r w:rsidRPr="00315091">
        <w:rPr>
          <w:rFonts w:asciiTheme="minorHAnsi" w:hAnsiTheme="minorHAnsi" w:cstheme="minorHAnsi"/>
          <w:sz w:val="22"/>
          <w:szCs w:val="22"/>
        </w:rPr>
        <w:t>d.lgs</w:t>
      </w:r>
      <w:proofErr w:type="spellEnd"/>
      <w:r w:rsidRPr="00315091">
        <w:rPr>
          <w:rFonts w:asciiTheme="minorHAnsi" w:hAnsiTheme="minorHAnsi" w:cstheme="minorHAnsi"/>
          <w:sz w:val="22"/>
          <w:szCs w:val="22"/>
        </w:rPr>
        <w:t xml:space="preserve"> 73/2020). </w:t>
      </w:r>
      <w:proofErr w:type="gramStart"/>
      <w:r w:rsidRPr="00315091">
        <w:rPr>
          <w:rFonts w:asciiTheme="minorHAnsi" w:hAnsiTheme="minorHAnsi" w:cstheme="minorHAnsi"/>
          <w:sz w:val="22"/>
          <w:szCs w:val="22"/>
        </w:rPr>
        <w:t>Inoltre</w:t>
      </w:r>
      <w:proofErr w:type="gramEnd"/>
      <w:r w:rsidRPr="00315091">
        <w:rPr>
          <w:rFonts w:asciiTheme="minorHAnsi" w:hAnsiTheme="minorHAnsi" w:cstheme="minorHAnsi"/>
          <w:sz w:val="22"/>
          <w:szCs w:val="22"/>
        </w:rPr>
        <w:t xml:space="preserve"> il decreto abroga lo scomputo dei maggiori spessori nel caso di nuove costruzioni, così come precedentemente previsto dal comma 6 dell’art. 14 del </w:t>
      </w:r>
      <w:proofErr w:type="spellStart"/>
      <w:r w:rsidRPr="00315091">
        <w:rPr>
          <w:rFonts w:asciiTheme="minorHAnsi" w:hAnsiTheme="minorHAnsi" w:cstheme="minorHAnsi"/>
          <w:sz w:val="22"/>
          <w:szCs w:val="22"/>
        </w:rPr>
        <w:t>D.lgs</w:t>
      </w:r>
      <w:proofErr w:type="spellEnd"/>
      <w:r w:rsidRPr="00315091">
        <w:rPr>
          <w:rFonts w:asciiTheme="minorHAnsi" w:hAnsiTheme="minorHAnsi" w:cstheme="minorHAnsi"/>
          <w:sz w:val="22"/>
          <w:szCs w:val="22"/>
        </w:rPr>
        <w:t xml:space="preserve"> 102/2014.</w:t>
      </w:r>
    </w:p>
    <w:p w14:paraId="26F6396D" w14:textId="77777777" w:rsidR="00315091" w:rsidRDefault="00315091" w:rsidP="00315091">
      <w:pPr>
        <w:pStyle w:val="NormaleWeb"/>
        <w:shd w:val="clear" w:color="auto" w:fill="FFFFFF"/>
        <w:jc w:val="both"/>
        <w:textAlignment w:val="baseline"/>
        <w:rPr>
          <w:rFonts w:asciiTheme="minorHAnsi" w:hAnsiTheme="minorHAnsi" w:cstheme="minorHAnsi"/>
          <w:sz w:val="22"/>
          <w:szCs w:val="22"/>
        </w:rPr>
      </w:pPr>
    </w:p>
    <w:p w14:paraId="21B574DA" w14:textId="55DD5442" w:rsidR="00315091" w:rsidRPr="00315091" w:rsidRDefault="00315091" w:rsidP="00315091">
      <w:pPr>
        <w:pStyle w:val="NormaleWeb"/>
        <w:shd w:val="clear" w:color="auto" w:fill="FFFFFF"/>
        <w:jc w:val="both"/>
        <w:textAlignment w:val="baseline"/>
        <w:rPr>
          <w:rFonts w:asciiTheme="minorHAnsi" w:hAnsiTheme="minorHAnsi" w:cstheme="minorHAnsi"/>
          <w:sz w:val="22"/>
          <w:szCs w:val="22"/>
        </w:rPr>
      </w:pPr>
      <w:r w:rsidRPr="00315091">
        <w:rPr>
          <w:rFonts w:asciiTheme="minorHAnsi" w:hAnsiTheme="minorHAnsi" w:cstheme="minorHAnsi"/>
          <w:sz w:val="22"/>
          <w:szCs w:val="22"/>
        </w:rPr>
        <w:t>Il Decreto prevede anche:</w:t>
      </w:r>
    </w:p>
    <w:p w14:paraId="49509B9F" w14:textId="77777777" w:rsidR="00315091" w:rsidRPr="00315091" w:rsidRDefault="00315091" w:rsidP="00315091">
      <w:pPr>
        <w:numPr>
          <w:ilvl w:val="0"/>
          <w:numId w:val="17"/>
        </w:numPr>
        <w:shd w:val="clear" w:color="auto" w:fill="FFFFFF"/>
        <w:jc w:val="both"/>
        <w:textAlignment w:val="baseline"/>
        <w:rPr>
          <w:rFonts w:asciiTheme="minorHAnsi" w:hAnsiTheme="minorHAnsi" w:cstheme="minorHAnsi"/>
          <w:sz w:val="22"/>
          <w:szCs w:val="22"/>
        </w:rPr>
      </w:pPr>
      <w:r w:rsidRPr="00315091">
        <w:rPr>
          <w:rFonts w:asciiTheme="minorHAnsi" w:hAnsiTheme="minorHAnsi" w:cstheme="minorHAnsi"/>
          <w:sz w:val="22"/>
          <w:szCs w:val="22"/>
        </w:rPr>
        <w:t xml:space="preserve">il conseguimento dell’obiettivo obbligatorio di efficienza energetica tramite misure di promozione dell’efficienza energetica (art. 7, comma 1 ter del decreto 102/2014 così come modificato dal </w:t>
      </w:r>
      <w:proofErr w:type="spellStart"/>
      <w:r w:rsidRPr="00315091">
        <w:rPr>
          <w:rFonts w:asciiTheme="minorHAnsi" w:hAnsiTheme="minorHAnsi" w:cstheme="minorHAnsi"/>
          <w:sz w:val="22"/>
          <w:szCs w:val="22"/>
        </w:rPr>
        <w:t>d.lgs</w:t>
      </w:r>
      <w:proofErr w:type="spellEnd"/>
      <w:r w:rsidRPr="00315091">
        <w:rPr>
          <w:rFonts w:asciiTheme="minorHAnsi" w:hAnsiTheme="minorHAnsi" w:cstheme="minorHAnsi"/>
          <w:sz w:val="22"/>
          <w:szCs w:val="22"/>
        </w:rPr>
        <w:t xml:space="preserve"> 73/2020). In particolare le misure identificate sono: lo schema d’obbligo dei Certificati Bianchi; le detrazioni fiscali per gli interventi di efficienza energetica ed il recupero edilizio del patrimonio immobiliare esistente; il Conto Termico; il Fondo Nazionale per l’Efficienza Energetica (FNEE); il Piano </w:t>
      </w:r>
      <w:proofErr w:type="spellStart"/>
      <w:r w:rsidRPr="00315091">
        <w:rPr>
          <w:rFonts w:asciiTheme="minorHAnsi" w:hAnsiTheme="minorHAnsi" w:cstheme="minorHAnsi"/>
          <w:sz w:val="22"/>
          <w:szCs w:val="22"/>
        </w:rPr>
        <w:t>lmpresa</w:t>
      </w:r>
      <w:proofErr w:type="spellEnd"/>
      <w:r w:rsidRPr="00315091">
        <w:rPr>
          <w:rFonts w:asciiTheme="minorHAnsi" w:hAnsiTheme="minorHAnsi" w:cstheme="minorHAnsi"/>
          <w:sz w:val="22"/>
          <w:szCs w:val="22"/>
        </w:rPr>
        <w:t xml:space="preserve"> 4.0; il Programma per la Riqualificazione Energetica degli edifici della Pubblica Amministrazione Centrale (PREPAC); il Programma di interventi di efficienza energetica promossi dalle politiche di coesione 2021-2027; il Piano nazionale di Informazione e Formazione per l’efficienza energetica (PIF); le misure per la mobilità sostenibile. I risparmi conseguiti da tali misure dovranno essere fornite alla Commissione europea anche con specifico riferimento alle azioni volte ad alleviare la povertà energetica.</w:t>
      </w:r>
    </w:p>
    <w:p w14:paraId="346F0717" w14:textId="77777777" w:rsidR="00315091" w:rsidRPr="00315091" w:rsidRDefault="00315091" w:rsidP="00315091">
      <w:pPr>
        <w:numPr>
          <w:ilvl w:val="0"/>
          <w:numId w:val="17"/>
        </w:numPr>
        <w:shd w:val="clear" w:color="auto" w:fill="FFFFFF"/>
        <w:jc w:val="both"/>
        <w:textAlignment w:val="baseline"/>
        <w:rPr>
          <w:rFonts w:asciiTheme="minorHAnsi" w:hAnsiTheme="minorHAnsi" w:cstheme="minorHAnsi"/>
          <w:sz w:val="22"/>
          <w:szCs w:val="22"/>
        </w:rPr>
      </w:pPr>
      <w:r w:rsidRPr="00315091">
        <w:rPr>
          <w:rFonts w:asciiTheme="minorHAnsi" w:hAnsiTheme="minorHAnsi" w:cstheme="minorHAnsi"/>
          <w:sz w:val="22"/>
          <w:szCs w:val="22"/>
        </w:rPr>
        <w:t>l’aggiornamento della disciplina dell’obbligo di eseguire diagnosi energetiche per le grandi imprese che prevede l’esenzione dall’obbligo di periodicità (ogni 4 anni) di eseguire una diagnosi energetica se le stesse hanno adottato sistemi di gestione conformi alla sola norma</w:t>
      </w:r>
      <w:r w:rsidRPr="00315091">
        <w:rPr>
          <w:rStyle w:val="Enfasigrassetto"/>
          <w:rFonts w:asciiTheme="minorHAnsi" w:hAnsiTheme="minorHAnsi" w:cstheme="minorHAnsi"/>
          <w:sz w:val="22"/>
          <w:szCs w:val="22"/>
          <w:bdr w:val="none" w:sz="0" w:space="0" w:color="auto" w:frame="1"/>
        </w:rPr>
        <w:t> ISO 50001 </w:t>
      </w:r>
      <w:r w:rsidRPr="00315091">
        <w:rPr>
          <w:rFonts w:asciiTheme="minorHAnsi" w:hAnsiTheme="minorHAnsi" w:cstheme="minorHAnsi"/>
          <w:sz w:val="22"/>
          <w:szCs w:val="22"/>
        </w:rPr>
        <w:t xml:space="preserve">e non più per chi si è dotata di schemi EMAS e di certificazioni ISO 14001. </w:t>
      </w:r>
      <w:proofErr w:type="gramStart"/>
      <w:r w:rsidRPr="00315091">
        <w:rPr>
          <w:rFonts w:asciiTheme="minorHAnsi" w:hAnsiTheme="minorHAnsi" w:cstheme="minorHAnsi"/>
          <w:sz w:val="22"/>
          <w:szCs w:val="22"/>
        </w:rPr>
        <w:t>In sintesi</w:t>
      </w:r>
      <w:proofErr w:type="gramEnd"/>
      <w:r w:rsidRPr="00315091">
        <w:rPr>
          <w:rFonts w:asciiTheme="minorHAnsi" w:hAnsiTheme="minorHAnsi" w:cstheme="minorHAnsi"/>
          <w:sz w:val="22"/>
          <w:szCs w:val="22"/>
        </w:rPr>
        <w:t xml:space="preserve"> viene quindi eliminata l’esenzione dalla diagnosi per le grandi imprese </w:t>
      </w:r>
      <w:r w:rsidRPr="00315091">
        <w:rPr>
          <w:rFonts w:asciiTheme="minorHAnsi" w:hAnsiTheme="minorHAnsi" w:cstheme="minorHAnsi"/>
          <w:sz w:val="22"/>
          <w:szCs w:val="22"/>
        </w:rPr>
        <w:lastRenderedPageBreak/>
        <w:t xml:space="preserve">che sono dotate di schemi EMAS e di certificazioni ISO 14001. Non sono inoltre soggette all’obbligo di eseguire diagnosi energetiche le grandi imprese che presentino consumi energetici complessivi annui inferiori a 50 </w:t>
      </w:r>
      <w:proofErr w:type="spellStart"/>
      <w:r w:rsidRPr="00315091">
        <w:rPr>
          <w:rFonts w:asciiTheme="minorHAnsi" w:hAnsiTheme="minorHAnsi" w:cstheme="minorHAnsi"/>
          <w:sz w:val="22"/>
          <w:szCs w:val="22"/>
        </w:rPr>
        <w:t>tep</w:t>
      </w:r>
      <w:proofErr w:type="spellEnd"/>
      <w:r w:rsidRPr="00315091">
        <w:rPr>
          <w:rFonts w:asciiTheme="minorHAnsi" w:hAnsiTheme="minorHAnsi" w:cstheme="minorHAnsi"/>
          <w:sz w:val="22"/>
          <w:szCs w:val="22"/>
        </w:rPr>
        <w:t xml:space="preserve">. Per tali imprese, con decreto del Ministero dello Sviluppo economico verrà definita la tipologia di documentazione da trasmettere (articolo 8, commi 1 e 3-bis del decreto legislativo 102/2014 così come modificato dal </w:t>
      </w:r>
      <w:proofErr w:type="spellStart"/>
      <w:r w:rsidRPr="00315091">
        <w:rPr>
          <w:rFonts w:asciiTheme="minorHAnsi" w:hAnsiTheme="minorHAnsi" w:cstheme="minorHAnsi"/>
          <w:sz w:val="22"/>
          <w:szCs w:val="22"/>
        </w:rPr>
        <w:t>d.lgs</w:t>
      </w:r>
      <w:proofErr w:type="spellEnd"/>
      <w:r w:rsidRPr="00315091">
        <w:rPr>
          <w:rFonts w:asciiTheme="minorHAnsi" w:hAnsiTheme="minorHAnsi" w:cstheme="minorHAnsi"/>
          <w:sz w:val="22"/>
          <w:szCs w:val="22"/>
        </w:rPr>
        <w:t xml:space="preserve"> 73/2020);</w:t>
      </w:r>
    </w:p>
    <w:p w14:paraId="226FDF83" w14:textId="77777777" w:rsidR="00315091" w:rsidRPr="00315091" w:rsidRDefault="00315091" w:rsidP="00315091">
      <w:pPr>
        <w:numPr>
          <w:ilvl w:val="0"/>
          <w:numId w:val="17"/>
        </w:numPr>
        <w:shd w:val="clear" w:color="auto" w:fill="FFFFFF"/>
        <w:jc w:val="both"/>
        <w:textAlignment w:val="baseline"/>
        <w:rPr>
          <w:rFonts w:asciiTheme="minorHAnsi" w:hAnsiTheme="minorHAnsi" w:cstheme="minorHAnsi"/>
          <w:sz w:val="22"/>
          <w:szCs w:val="22"/>
        </w:rPr>
      </w:pPr>
      <w:r w:rsidRPr="00315091">
        <w:rPr>
          <w:rFonts w:asciiTheme="minorHAnsi" w:hAnsiTheme="minorHAnsi" w:cstheme="minorHAnsi"/>
          <w:sz w:val="22"/>
          <w:szCs w:val="22"/>
        </w:rPr>
        <w:t xml:space="preserve">l’emanazione dei bandi pubblici per finanziare l’efficienza energetica nelle PMI finalizzate a favorire i sistemi di gestione dell’energia conformi alla norma ISO 50001 (articolo 8, comma 10 bis del decreto legislativo 102/2014 così come modificato dal </w:t>
      </w:r>
      <w:proofErr w:type="spellStart"/>
      <w:r w:rsidRPr="00315091">
        <w:rPr>
          <w:rFonts w:asciiTheme="minorHAnsi" w:hAnsiTheme="minorHAnsi" w:cstheme="minorHAnsi"/>
          <w:sz w:val="22"/>
          <w:szCs w:val="22"/>
        </w:rPr>
        <w:t>d.lgs</w:t>
      </w:r>
      <w:proofErr w:type="spellEnd"/>
      <w:r w:rsidRPr="00315091">
        <w:rPr>
          <w:rFonts w:asciiTheme="minorHAnsi" w:hAnsiTheme="minorHAnsi" w:cstheme="minorHAnsi"/>
          <w:sz w:val="22"/>
          <w:szCs w:val="22"/>
        </w:rPr>
        <w:t xml:space="preserve"> 73/2020);</w:t>
      </w:r>
    </w:p>
    <w:p w14:paraId="38DE7C7B" w14:textId="77777777" w:rsidR="00315091" w:rsidRPr="00315091" w:rsidRDefault="00315091" w:rsidP="00315091">
      <w:pPr>
        <w:numPr>
          <w:ilvl w:val="0"/>
          <w:numId w:val="17"/>
        </w:numPr>
        <w:shd w:val="clear" w:color="auto" w:fill="FFFFFF"/>
        <w:jc w:val="both"/>
        <w:textAlignment w:val="baseline"/>
        <w:rPr>
          <w:rFonts w:asciiTheme="minorHAnsi" w:hAnsiTheme="minorHAnsi" w:cstheme="minorHAnsi"/>
          <w:sz w:val="22"/>
          <w:szCs w:val="22"/>
        </w:rPr>
      </w:pPr>
      <w:r w:rsidRPr="00315091">
        <w:rPr>
          <w:rFonts w:asciiTheme="minorHAnsi" w:hAnsiTheme="minorHAnsi" w:cstheme="minorHAnsi"/>
          <w:sz w:val="22"/>
          <w:szCs w:val="22"/>
        </w:rPr>
        <w:t xml:space="preserve">un programma annuale di sensibilizzazione e assistenza alle piccole e medie imprese, elaborato dall’ENEA, per l’esecuzione delle diagnosi energetiche presso i propri siti produttivi e per la realizzazione degli interventi di efficientamento energetico proposti nelle diagnosi stesse (articolo 8, comma 10-ter del decreto 102/2014 così come modificato dal </w:t>
      </w:r>
      <w:proofErr w:type="spellStart"/>
      <w:r w:rsidRPr="00315091">
        <w:rPr>
          <w:rFonts w:asciiTheme="minorHAnsi" w:hAnsiTheme="minorHAnsi" w:cstheme="minorHAnsi"/>
          <w:sz w:val="22"/>
          <w:szCs w:val="22"/>
        </w:rPr>
        <w:t>d.lgs</w:t>
      </w:r>
      <w:proofErr w:type="spellEnd"/>
      <w:r w:rsidRPr="00315091">
        <w:rPr>
          <w:rFonts w:asciiTheme="minorHAnsi" w:hAnsiTheme="minorHAnsi" w:cstheme="minorHAnsi"/>
          <w:sz w:val="22"/>
          <w:szCs w:val="22"/>
        </w:rPr>
        <w:t xml:space="preserve"> 73/2020);</w:t>
      </w:r>
    </w:p>
    <w:p w14:paraId="4A5A56FF" w14:textId="77777777" w:rsidR="00315091" w:rsidRPr="00315091" w:rsidRDefault="00315091" w:rsidP="00315091">
      <w:pPr>
        <w:numPr>
          <w:ilvl w:val="0"/>
          <w:numId w:val="17"/>
        </w:numPr>
        <w:shd w:val="clear" w:color="auto" w:fill="FFFFFF"/>
        <w:jc w:val="both"/>
        <w:textAlignment w:val="baseline"/>
        <w:rPr>
          <w:rFonts w:asciiTheme="minorHAnsi" w:hAnsiTheme="minorHAnsi" w:cstheme="minorHAnsi"/>
          <w:sz w:val="22"/>
          <w:szCs w:val="22"/>
        </w:rPr>
      </w:pPr>
      <w:r w:rsidRPr="00315091">
        <w:rPr>
          <w:rFonts w:asciiTheme="minorHAnsi" w:hAnsiTheme="minorHAnsi" w:cstheme="minorHAnsi"/>
          <w:sz w:val="22"/>
          <w:szCs w:val="22"/>
        </w:rPr>
        <w:t xml:space="preserve">le prescrizioni per la misurazione e la fatturazione dei consumi energetici, prevedendo che i contatori di fornitura, i sotto-contatori o i sistemi di contabilizzazione del calore individuali siano leggibili da remoto a partire dal 25 ottobre 2020. Entro il 1° gennaio 2027, tutti i </w:t>
      </w:r>
      <w:proofErr w:type="gramStart"/>
      <w:r w:rsidRPr="00315091">
        <w:rPr>
          <w:rFonts w:asciiTheme="minorHAnsi" w:hAnsiTheme="minorHAnsi" w:cstheme="minorHAnsi"/>
          <w:sz w:val="22"/>
          <w:szCs w:val="22"/>
        </w:rPr>
        <w:t>predetti</w:t>
      </w:r>
      <w:proofErr w:type="gramEnd"/>
      <w:r w:rsidRPr="00315091">
        <w:rPr>
          <w:rFonts w:asciiTheme="minorHAnsi" w:hAnsiTheme="minorHAnsi" w:cstheme="minorHAnsi"/>
          <w:sz w:val="22"/>
          <w:szCs w:val="22"/>
        </w:rPr>
        <w:t xml:space="preserve"> sistemi dovranno essere dotati di dispositivi che ne permettono la lettura da remoto. Viene inoltre evidenziato che le società di vendita di energia al dettaglio non ostacolino i consumatori nel passaggio a un altro fornitore (articolo 9 del decreto 102/2014 così come modificato dal </w:t>
      </w:r>
      <w:proofErr w:type="spellStart"/>
      <w:r w:rsidRPr="00315091">
        <w:rPr>
          <w:rFonts w:asciiTheme="minorHAnsi" w:hAnsiTheme="minorHAnsi" w:cstheme="minorHAnsi"/>
          <w:sz w:val="22"/>
          <w:szCs w:val="22"/>
        </w:rPr>
        <w:t>d.lgs</w:t>
      </w:r>
      <w:proofErr w:type="spellEnd"/>
      <w:r w:rsidRPr="00315091">
        <w:rPr>
          <w:rFonts w:asciiTheme="minorHAnsi" w:hAnsiTheme="minorHAnsi" w:cstheme="minorHAnsi"/>
          <w:sz w:val="22"/>
          <w:szCs w:val="22"/>
        </w:rPr>
        <w:t xml:space="preserve"> 73/2020).</w:t>
      </w:r>
    </w:p>
    <w:p w14:paraId="2CE63338" w14:textId="77777777" w:rsidR="00315091" w:rsidRDefault="00315091" w:rsidP="00315091">
      <w:pPr>
        <w:pStyle w:val="NormaleWeb"/>
        <w:shd w:val="clear" w:color="auto" w:fill="FFFFFF"/>
        <w:jc w:val="both"/>
        <w:textAlignment w:val="baseline"/>
        <w:rPr>
          <w:rFonts w:asciiTheme="minorHAnsi" w:hAnsiTheme="minorHAnsi" w:cstheme="minorHAnsi"/>
          <w:sz w:val="22"/>
          <w:szCs w:val="22"/>
        </w:rPr>
      </w:pPr>
    </w:p>
    <w:p w14:paraId="06C84616" w14:textId="4F05CF15" w:rsidR="00315091" w:rsidRPr="00315091" w:rsidRDefault="00315091" w:rsidP="00315091">
      <w:pPr>
        <w:pStyle w:val="NormaleWeb"/>
        <w:shd w:val="clear" w:color="auto" w:fill="FFFFFF"/>
        <w:jc w:val="both"/>
        <w:textAlignment w:val="baseline"/>
        <w:rPr>
          <w:rFonts w:asciiTheme="minorHAnsi" w:hAnsiTheme="minorHAnsi" w:cstheme="minorHAnsi"/>
          <w:sz w:val="22"/>
          <w:szCs w:val="22"/>
        </w:rPr>
      </w:pPr>
      <w:r w:rsidRPr="00315091">
        <w:rPr>
          <w:rFonts w:asciiTheme="minorHAnsi" w:hAnsiTheme="minorHAnsi" w:cstheme="minorHAnsi"/>
          <w:sz w:val="22"/>
          <w:szCs w:val="22"/>
        </w:rPr>
        <w:t>Ulteriori modifiche riguardano:</w:t>
      </w:r>
    </w:p>
    <w:p w14:paraId="4C357E7A" w14:textId="77777777" w:rsidR="00315091" w:rsidRPr="00315091" w:rsidRDefault="00315091" w:rsidP="00315091">
      <w:pPr>
        <w:numPr>
          <w:ilvl w:val="0"/>
          <w:numId w:val="18"/>
        </w:numPr>
        <w:shd w:val="clear" w:color="auto" w:fill="FFFFFF"/>
        <w:jc w:val="both"/>
        <w:textAlignment w:val="baseline"/>
        <w:rPr>
          <w:rFonts w:asciiTheme="minorHAnsi" w:hAnsiTheme="minorHAnsi" w:cstheme="minorHAnsi"/>
          <w:sz w:val="22"/>
          <w:szCs w:val="22"/>
        </w:rPr>
      </w:pPr>
      <w:r w:rsidRPr="00315091">
        <w:rPr>
          <w:rFonts w:asciiTheme="minorHAnsi" w:hAnsiTheme="minorHAnsi" w:cstheme="minorHAnsi"/>
          <w:sz w:val="22"/>
          <w:szCs w:val="22"/>
        </w:rPr>
        <w:t xml:space="preserve">i regimi di qualificazione, accreditamento e certificazione, chiarendo gli ambiti di intervento degli esperti in gestione dell’energia con la previsione di norme tecniche finalizzate ad individuarne le specifiche competenze in materia di esecuzione delle diagnosi energetiche. </w:t>
      </w:r>
      <w:proofErr w:type="gramStart"/>
      <w:r w:rsidRPr="00315091">
        <w:rPr>
          <w:rFonts w:asciiTheme="minorHAnsi" w:hAnsiTheme="minorHAnsi" w:cstheme="minorHAnsi"/>
          <w:sz w:val="22"/>
          <w:szCs w:val="22"/>
        </w:rPr>
        <w:t>Inoltre</w:t>
      </w:r>
      <w:proofErr w:type="gramEnd"/>
      <w:r w:rsidRPr="00315091">
        <w:rPr>
          <w:rFonts w:asciiTheme="minorHAnsi" w:hAnsiTheme="minorHAnsi" w:cstheme="minorHAnsi"/>
          <w:sz w:val="22"/>
          <w:szCs w:val="22"/>
        </w:rPr>
        <w:t xml:space="preserve"> sono previsti programmi di formazione finalizzati alla qualificazione degli installatori di elementi edilizi connessi al miglioramento della prestazione energetica degli edifici (art. 12 del d.lgs. 102/2014 così come modificato dal </w:t>
      </w:r>
      <w:proofErr w:type="spellStart"/>
      <w:r w:rsidRPr="00315091">
        <w:rPr>
          <w:rFonts w:asciiTheme="minorHAnsi" w:hAnsiTheme="minorHAnsi" w:cstheme="minorHAnsi"/>
          <w:sz w:val="22"/>
          <w:szCs w:val="22"/>
        </w:rPr>
        <w:t>d.lgs</w:t>
      </w:r>
      <w:proofErr w:type="spellEnd"/>
      <w:r w:rsidRPr="00315091">
        <w:rPr>
          <w:rFonts w:asciiTheme="minorHAnsi" w:hAnsiTheme="minorHAnsi" w:cstheme="minorHAnsi"/>
          <w:sz w:val="22"/>
          <w:szCs w:val="22"/>
        </w:rPr>
        <w:t xml:space="preserve"> 73/2020);</w:t>
      </w:r>
    </w:p>
    <w:p w14:paraId="3B41E8E9" w14:textId="77777777" w:rsidR="00315091" w:rsidRPr="00315091" w:rsidRDefault="00315091" w:rsidP="00315091">
      <w:pPr>
        <w:numPr>
          <w:ilvl w:val="0"/>
          <w:numId w:val="18"/>
        </w:numPr>
        <w:shd w:val="clear" w:color="auto" w:fill="FFFFFF"/>
        <w:jc w:val="both"/>
        <w:textAlignment w:val="baseline"/>
        <w:rPr>
          <w:rFonts w:asciiTheme="minorHAnsi" w:hAnsiTheme="minorHAnsi" w:cstheme="minorHAnsi"/>
          <w:sz w:val="22"/>
          <w:szCs w:val="22"/>
        </w:rPr>
      </w:pPr>
      <w:r w:rsidRPr="00315091">
        <w:rPr>
          <w:rFonts w:asciiTheme="minorHAnsi" w:hAnsiTheme="minorHAnsi" w:cstheme="minorHAnsi"/>
          <w:sz w:val="22"/>
          <w:szCs w:val="22"/>
        </w:rPr>
        <w:t xml:space="preserve">la valorizzazione delle risultanze delle diagnosi energetiche, che dovranno tener conto delle possibilità e degli strumenti proposti dall’iniziativa sui Finanziamenti intelligenti per edifici intelligenti promossa dalla Commissione europea, al fine di stimolare i finanziamenti privati per la realizzazione di interventi di efficienza energetica promossi dal Fondo nazionale per l’efficienza energetica (art. 15 comma 4-bis del D.lgs. 102/2014 così come modificato dal </w:t>
      </w:r>
      <w:proofErr w:type="spellStart"/>
      <w:r w:rsidRPr="00315091">
        <w:rPr>
          <w:rFonts w:asciiTheme="minorHAnsi" w:hAnsiTheme="minorHAnsi" w:cstheme="minorHAnsi"/>
          <w:sz w:val="22"/>
          <w:szCs w:val="22"/>
        </w:rPr>
        <w:t>d.lgs</w:t>
      </w:r>
      <w:proofErr w:type="spellEnd"/>
      <w:r w:rsidRPr="00315091">
        <w:rPr>
          <w:rFonts w:asciiTheme="minorHAnsi" w:hAnsiTheme="minorHAnsi" w:cstheme="minorHAnsi"/>
          <w:sz w:val="22"/>
          <w:szCs w:val="22"/>
        </w:rPr>
        <w:t xml:space="preserve"> 73/2020).</w:t>
      </w:r>
    </w:p>
    <w:p w14:paraId="581CE800" w14:textId="77777777" w:rsidR="00315091" w:rsidRDefault="00315091" w:rsidP="00315091">
      <w:pPr>
        <w:pStyle w:val="NormaleWeb"/>
        <w:shd w:val="clear" w:color="auto" w:fill="FFFFFF"/>
        <w:jc w:val="both"/>
        <w:textAlignment w:val="baseline"/>
        <w:rPr>
          <w:rFonts w:asciiTheme="minorHAnsi" w:hAnsiTheme="minorHAnsi" w:cstheme="minorHAnsi"/>
          <w:sz w:val="22"/>
          <w:szCs w:val="22"/>
        </w:rPr>
      </w:pPr>
    </w:p>
    <w:p w14:paraId="6A90FD45" w14:textId="1647B5FA" w:rsidR="00315091" w:rsidRPr="00315091" w:rsidRDefault="00315091" w:rsidP="00315091">
      <w:pPr>
        <w:pStyle w:val="NormaleWeb"/>
        <w:shd w:val="clear" w:color="auto" w:fill="FFFFFF"/>
        <w:jc w:val="both"/>
        <w:textAlignment w:val="baseline"/>
        <w:rPr>
          <w:rFonts w:asciiTheme="minorHAnsi" w:hAnsiTheme="minorHAnsi" w:cstheme="minorHAnsi"/>
          <w:sz w:val="22"/>
          <w:szCs w:val="22"/>
        </w:rPr>
      </w:pPr>
      <w:r w:rsidRPr="00315091">
        <w:rPr>
          <w:rFonts w:asciiTheme="minorHAnsi" w:hAnsiTheme="minorHAnsi" w:cstheme="minorHAnsi"/>
          <w:sz w:val="22"/>
          <w:szCs w:val="22"/>
        </w:rPr>
        <w:t>Altre novità riguardano anche le definizioni per integrare nella normativa nazionale le nuove definizioni introdotte dalla direttiva europea 2018/2002. E’ quindi aggiornata la definizione di “</w:t>
      </w:r>
      <w:r w:rsidRPr="00315091">
        <w:rPr>
          <w:rStyle w:val="Enfasigrassetto"/>
          <w:rFonts w:asciiTheme="minorHAnsi" w:hAnsiTheme="minorHAnsi" w:cstheme="minorHAnsi"/>
          <w:sz w:val="22"/>
          <w:szCs w:val="22"/>
          <w:bdr w:val="none" w:sz="0" w:space="0" w:color="auto" w:frame="1"/>
        </w:rPr>
        <w:t>esperto in gestione dell’energia – EGE</w:t>
      </w:r>
      <w:r w:rsidRPr="00315091">
        <w:rPr>
          <w:rFonts w:asciiTheme="minorHAnsi" w:hAnsiTheme="minorHAnsi" w:cstheme="minorHAnsi"/>
          <w:sz w:val="22"/>
          <w:szCs w:val="22"/>
        </w:rPr>
        <w:t>“, e di </w:t>
      </w:r>
      <w:r w:rsidRPr="00315091">
        <w:rPr>
          <w:rStyle w:val="Enfasigrassetto"/>
          <w:rFonts w:asciiTheme="minorHAnsi" w:hAnsiTheme="minorHAnsi" w:cstheme="minorHAnsi"/>
          <w:sz w:val="22"/>
          <w:szCs w:val="22"/>
          <w:bdr w:val="none" w:sz="0" w:space="0" w:color="auto" w:frame="1"/>
        </w:rPr>
        <w:t>auditor energetico</w:t>
      </w:r>
      <w:hyperlink r:id="rId9" w:anchor="_ftn2" w:history="1">
        <w:r w:rsidRPr="00766FFC">
          <w:rPr>
            <w:rStyle w:val="Collegamentoipertestuale"/>
            <w:rFonts w:asciiTheme="minorHAnsi" w:hAnsiTheme="minorHAnsi" w:cstheme="minorHAnsi"/>
            <w:b/>
            <w:bCs/>
            <w:color w:val="0033CC"/>
            <w:sz w:val="22"/>
            <w:szCs w:val="22"/>
            <w:bdr w:val="none" w:sz="0" w:space="0" w:color="auto" w:frame="1"/>
            <w:vertAlign w:val="superscript"/>
          </w:rPr>
          <w:t>[2]</w:t>
        </w:r>
      </w:hyperlink>
      <w:r w:rsidRPr="00315091">
        <w:rPr>
          <w:rFonts w:asciiTheme="minorHAnsi" w:hAnsiTheme="minorHAnsi" w:cstheme="minorHAnsi"/>
          <w:sz w:val="22"/>
          <w:szCs w:val="22"/>
        </w:rPr>
        <w:t xml:space="preserve">, al fine di chiarire l’identificazione dei soggetti che operano nell’ambito dei servizi energetici. Quest’ultima figura coincide con quella dell’EGE per le attività previste dal </w:t>
      </w:r>
      <w:proofErr w:type="spellStart"/>
      <w:r w:rsidRPr="00315091">
        <w:rPr>
          <w:rFonts w:asciiTheme="minorHAnsi" w:hAnsiTheme="minorHAnsi" w:cstheme="minorHAnsi"/>
          <w:sz w:val="22"/>
          <w:szCs w:val="22"/>
        </w:rPr>
        <w:t>d.lgs</w:t>
      </w:r>
      <w:proofErr w:type="spellEnd"/>
      <w:r w:rsidRPr="00315091">
        <w:rPr>
          <w:rFonts w:asciiTheme="minorHAnsi" w:hAnsiTheme="minorHAnsi" w:cstheme="minorHAnsi"/>
          <w:sz w:val="22"/>
          <w:szCs w:val="22"/>
        </w:rPr>
        <w:t xml:space="preserve"> 73/2020 in relazione all’esecuzione delle diagnosi energetiche. È poi chiarita ed ampliata la definizione di </w:t>
      </w:r>
      <w:r w:rsidRPr="00315091">
        <w:rPr>
          <w:rStyle w:val="Enfasigrassetto"/>
          <w:rFonts w:asciiTheme="minorHAnsi" w:hAnsiTheme="minorHAnsi" w:cstheme="minorHAnsi"/>
          <w:sz w:val="22"/>
          <w:szCs w:val="22"/>
          <w:bdr w:val="none" w:sz="0" w:space="0" w:color="auto" w:frame="1"/>
        </w:rPr>
        <w:t>pubblica amministrazione centrale</w:t>
      </w:r>
      <w:r w:rsidRPr="00315091">
        <w:rPr>
          <w:rFonts w:asciiTheme="minorHAnsi" w:hAnsiTheme="minorHAnsi" w:cstheme="minorHAnsi"/>
          <w:sz w:val="22"/>
          <w:szCs w:val="22"/>
        </w:rPr>
        <w:t>, per la quale si intendono le autorità governative centrali di cui all’allegato III del Decreto legislativo 18 aprile 2016, n. 50, nonché gli organi costituzionali. È anche aggiornata la definizione di </w:t>
      </w:r>
      <w:r w:rsidRPr="00315091">
        <w:rPr>
          <w:rStyle w:val="Enfasigrassetto"/>
          <w:rFonts w:asciiTheme="minorHAnsi" w:hAnsiTheme="minorHAnsi" w:cstheme="minorHAnsi"/>
          <w:sz w:val="22"/>
          <w:szCs w:val="22"/>
          <w:bdr w:val="none" w:sz="0" w:space="0" w:color="auto" w:frame="1"/>
        </w:rPr>
        <w:t>sistema di contabilizzazione</w:t>
      </w:r>
      <w:r w:rsidRPr="00315091">
        <w:rPr>
          <w:rFonts w:asciiTheme="minorHAnsi" w:hAnsiTheme="minorHAnsi" w:cstheme="minorHAnsi"/>
          <w:sz w:val="22"/>
          <w:szCs w:val="22"/>
        </w:rPr>
        <w:t> e </w:t>
      </w:r>
      <w:r w:rsidRPr="00315091">
        <w:rPr>
          <w:rStyle w:val="Enfasigrassetto"/>
          <w:rFonts w:asciiTheme="minorHAnsi" w:hAnsiTheme="minorHAnsi" w:cstheme="minorHAnsi"/>
          <w:sz w:val="22"/>
          <w:szCs w:val="22"/>
          <w:bdr w:val="none" w:sz="0" w:space="0" w:color="auto" w:frame="1"/>
        </w:rPr>
        <w:t>grande impresa</w:t>
      </w:r>
      <w:hyperlink r:id="rId10" w:anchor="_ftn3" w:history="1">
        <w:r w:rsidRPr="00766FFC">
          <w:rPr>
            <w:rStyle w:val="Collegamentoipertestuale"/>
            <w:rFonts w:asciiTheme="minorHAnsi" w:hAnsiTheme="minorHAnsi" w:cstheme="minorHAnsi"/>
            <w:b/>
            <w:bCs/>
            <w:color w:val="0033CC"/>
            <w:sz w:val="22"/>
            <w:szCs w:val="22"/>
            <w:bdr w:val="none" w:sz="0" w:space="0" w:color="auto" w:frame="1"/>
            <w:vertAlign w:val="superscript"/>
          </w:rPr>
          <w:t>[3]</w:t>
        </w:r>
      </w:hyperlink>
      <w:r w:rsidRPr="00315091">
        <w:rPr>
          <w:rFonts w:asciiTheme="minorHAnsi" w:hAnsiTheme="minorHAnsi" w:cstheme="minorHAnsi"/>
          <w:sz w:val="22"/>
          <w:szCs w:val="22"/>
        </w:rPr>
        <w:t>.</w:t>
      </w:r>
    </w:p>
    <w:p w14:paraId="15176B2A" w14:textId="77777777" w:rsidR="00315091" w:rsidRDefault="00315091" w:rsidP="00315091">
      <w:pPr>
        <w:pStyle w:val="NormaleWeb"/>
        <w:shd w:val="clear" w:color="auto" w:fill="FFFFFF"/>
        <w:jc w:val="both"/>
        <w:textAlignment w:val="baseline"/>
        <w:rPr>
          <w:rFonts w:asciiTheme="minorHAnsi" w:hAnsiTheme="minorHAnsi" w:cstheme="minorHAnsi"/>
          <w:sz w:val="22"/>
          <w:szCs w:val="22"/>
        </w:rPr>
      </w:pPr>
      <w:r w:rsidRPr="00315091">
        <w:rPr>
          <w:rFonts w:asciiTheme="minorHAnsi" w:hAnsiTheme="minorHAnsi" w:cstheme="minorHAnsi"/>
          <w:sz w:val="22"/>
          <w:szCs w:val="22"/>
        </w:rPr>
        <w:t>Con la pubblicazione del Decreto legislativo n. 73 del 14 luglio 2020, che si </w:t>
      </w:r>
      <w:r w:rsidRPr="00315091">
        <w:rPr>
          <w:rStyle w:val="Enfasigrassetto"/>
          <w:rFonts w:asciiTheme="minorHAnsi" w:hAnsiTheme="minorHAnsi" w:cstheme="minorHAnsi"/>
          <w:sz w:val="22"/>
          <w:szCs w:val="22"/>
          <w:bdr w:val="none" w:sz="0" w:space="0" w:color="auto" w:frame="1"/>
        </w:rPr>
        <w:t>allega</w:t>
      </w:r>
      <w:r w:rsidRPr="00315091">
        <w:rPr>
          <w:rFonts w:asciiTheme="minorHAnsi" w:hAnsiTheme="minorHAnsi" w:cstheme="minorHAnsi"/>
          <w:sz w:val="22"/>
          <w:szCs w:val="22"/>
        </w:rPr>
        <w:t>, le nuove disposizioni sono entrate in vigore il 29 luglio.</w:t>
      </w:r>
    </w:p>
    <w:p w14:paraId="57513CF9" w14:textId="73DA345B" w:rsidR="00315091" w:rsidRPr="00315091" w:rsidRDefault="00315091" w:rsidP="00315091">
      <w:pPr>
        <w:pStyle w:val="NormaleWeb"/>
        <w:shd w:val="clear" w:color="auto" w:fill="FFFFFF"/>
        <w:jc w:val="both"/>
        <w:textAlignment w:val="baseline"/>
        <w:rPr>
          <w:rFonts w:asciiTheme="minorHAnsi" w:hAnsiTheme="minorHAnsi" w:cstheme="minorHAnsi"/>
          <w:sz w:val="22"/>
          <w:szCs w:val="22"/>
        </w:rPr>
      </w:pPr>
      <w:r w:rsidRPr="00315091">
        <w:rPr>
          <w:rFonts w:asciiTheme="minorHAnsi" w:hAnsiTheme="minorHAnsi" w:cstheme="minorHAnsi"/>
          <w:sz w:val="22"/>
          <w:szCs w:val="22"/>
        </w:rPr>
        <w:t>——————————————————————–</w:t>
      </w:r>
    </w:p>
    <w:p w14:paraId="629CEE6D" w14:textId="77777777" w:rsidR="00315091" w:rsidRPr="00315091" w:rsidRDefault="00315091" w:rsidP="00315091">
      <w:pPr>
        <w:pStyle w:val="NormaleWeb"/>
        <w:shd w:val="clear" w:color="auto" w:fill="FFFFFF"/>
        <w:jc w:val="both"/>
        <w:textAlignment w:val="baseline"/>
        <w:rPr>
          <w:rFonts w:asciiTheme="minorHAnsi" w:hAnsiTheme="minorHAnsi" w:cstheme="minorHAnsi"/>
          <w:sz w:val="18"/>
          <w:szCs w:val="18"/>
        </w:rPr>
      </w:pPr>
      <w:hyperlink r:id="rId11" w:anchor="_ftnref1" w:history="1">
        <w:r w:rsidRPr="00315091">
          <w:rPr>
            <w:rStyle w:val="Collegamentoipertestuale"/>
            <w:rFonts w:asciiTheme="minorHAnsi" w:hAnsiTheme="minorHAnsi" w:cstheme="minorHAnsi"/>
            <w:b/>
            <w:bCs/>
            <w:color w:val="0033CC"/>
            <w:sz w:val="18"/>
            <w:szCs w:val="18"/>
            <w:bdr w:val="none" w:sz="0" w:space="0" w:color="auto" w:frame="1"/>
            <w:vertAlign w:val="superscript"/>
          </w:rPr>
          <w:t>[1]</w:t>
        </w:r>
      </w:hyperlink>
      <w:r w:rsidRPr="00315091">
        <w:rPr>
          <w:rFonts w:asciiTheme="minorHAnsi" w:hAnsiTheme="minorHAnsi" w:cstheme="minorHAnsi"/>
          <w:sz w:val="18"/>
          <w:szCs w:val="18"/>
          <w:bdr w:val="none" w:sz="0" w:space="0" w:color="auto" w:frame="1"/>
        </w:rPr>
        <w:t> </w:t>
      </w:r>
      <w:r w:rsidRPr="00315091">
        <w:rPr>
          <w:rFonts w:asciiTheme="minorHAnsi" w:hAnsiTheme="minorHAnsi" w:cstheme="minorHAnsi"/>
          <w:sz w:val="18"/>
          <w:szCs w:val="18"/>
        </w:rPr>
        <w:t>Istituito con protocollo di intesa tra Governo e regioni del 4 giugno 2019.</w:t>
      </w:r>
      <w:r w:rsidRPr="00315091">
        <w:rPr>
          <w:rFonts w:asciiTheme="minorHAnsi" w:hAnsiTheme="minorHAnsi" w:cstheme="minorHAnsi"/>
          <w:sz w:val="18"/>
          <w:szCs w:val="18"/>
        </w:rPr>
        <w:br/>
      </w:r>
      <w:hyperlink r:id="rId12" w:anchor="_ftnref2" w:history="1">
        <w:r w:rsidRPr="00315091">
          <w:rPr>
            <w:rStyle w:val="Collegamentoipertestuale"/>
            <w:rFonts w:asciiTheme="minorHAnsi" w:hAnsiTheme="minorHAnsi" w:cstheme="minorHAnsi"/>
            <w:b/>
            <w:bCs/>
            <w:color w:val="0033CC"/>
            <w:sz w:val="18"/>
            <w:szCs w:val="18"/>
            <w:bdr w:val="none" w:sz="0" w:space="0" w:color="auto" w:frame="1"/>
            <w:vertAlign w:val="superscript"/>
          </w:rPr>
          <w:t>[2]</w:t>
        </w:r>
      </w:hyperlink>
      <w:r w:rsidRPr="00315091">
        <w:rPr>
          <w:rFonts w:asciiTheme="minorHAnsi" w:hAnsiTheme="minorHAnsi" w:cstheme="minorHAnsi"/>
          <w:sz w:val="18"/>
          <w:szCs w:val="18"/>
        </w:rPr>
        <w:t> Esperto in Gestione dell’energia (EGE): persona fisica certificata secondo la norma UNI CEI 11339 rilasciata da organismo accreditato che, tra l’altro, esegue diagnosi energetiche conformi alle norme UNI CEI EN 16247.</w:t>
      </w:r>
      <w:r w:rsidRPr="00315091">
        <w:rPr>
          <w:rFonts w:asciiTheme="minorHAnsi" w:hAnsiTheme="minorHAnsi" w:cstheme="minorHAnsi"/>
          <w:sz w:val="18"/>
          <w:szCs w:val="18"/>
        </w:rPr>
        <w:br/>
        <w:t xml:space="preserve">Auditor energetico: figura coincidente con quella dell’EGE per le attività previste dal </w:t>
      </w:r>
      <w:proofErr w:type="spellStart"/>
      <w:r w:rsidRPr="00315091">
        <w:rPr>
          <w:rFonts w:asciiTheme="minorHAnsi" w:hAnsiTheme="minorHAnsi" w:cstheme="minorHAnsi"/>
          <w:sz w:val="18"/>
          <w:szCs w:val="18"/>
        </w:rPr>
        <w:t>d.lgs</w:t>
      </w:r>
      <w:proofErr w:type="spellEnd"/>
      <w:r w:rsidRPr="00315091">
        <w:rPr>
          <w:rFonts w:asciiTheme="minorHAnsi" w:hAnsiTheme="minorHAnsi" w:cstheme="minorHAnsi"/>
          <w:sz w:val="18"/>
          <w:szCs w:val="18"/>
        </w:rPr>
        <w:t xml:space="preserve"> 73/2020 in relazione all’esecuzione di diagnosi energetiche.</w:t>
      </w:r>
      <w:r w:rsidRPr="00315091">
        <w:rPr>
          <w:rFonts w:asciiTheme="minorHAnsi" w:hAnsiTheme="minorHAnsi" w:cstheme="minorHAnsi"/>
          <w:sz w:val="18"/>
          <w:szCs w:val="18"/>
        </w:rPr>
        <w:br/>
      </w:r>
      <w:hyperlink r:id="rId13" w:anchor="_ftnref1" w:history="1">
        <w:r w:rsidRPr="00315091">
          <w:rPr>
            <w:rStyle w:val="Collegamentoipertestuale"/>
            <w:rFonts w:asciiTheme="minorHAnsi" w:hAnsiTheme="minorHAnsi" w:cstheme="minorHAnsi"/>
            <w:b/>
            <w:bCs/>
            <w:color w:val="0033CC"/>
            <w:sz w:val="18"/>
            <w:szCs w:val="18"/>
            <w:bdr w:val="none" w:sz="0" w:space="0" w:color="auto" w:frame="1"/>
            <w:vertAlign w:val="superscript"/>
          </w:rPr>
          <w:t>[</w:t>
        </w:r>
      </w:hyperlink>
      <w:r w:rsidRPr="00315091">
        <w:rPr>
          <w:rStyle w:val="Collegamentoipertestuale"/>
          <w:b/>
          <w:bCs/>
          <w:color w:val="0033CC"/>
          <w:vertAlign w:val="superscript"/>
        </w:rPr>
        <w:t>3]</w:t>
      </w:r>
      <w:r w:rsidRPr="00315091">
        <w:rPr>
          <w:rFonts w:asciiTheme="minorHAnsi" w:hAnsiTheme="minorHAnsi" w:cstheme="minorHAnsi"/>
          <w:sz w:val="18"/>
          <w:szCs w:val="18"/>
        </w:rPr>
        <w:t xml:space="preserve"> Impresa che occupa più di 250 persone, il cui fatturato annuo supera i 50 milioni di euro o il cui totale di bilancio annuo supera i 43 milioni di euro ogni entità, a prescindere dalla forma giuridica, che eserciti un’attività economica con </w:t>
      </w:r>
      <w:r w:rsidRPr="00315091">
        <w:rPr>
          <w:rFonts w:asciiTheme="minorHAnsi" w:hAnsiTheme="minorHAnsi" w:cstheme="minorHAnsi"/>
          <w:sz w:val="18"/>
          <w:szCs w:val="18"/>
        </w:rPr>
        <w:lastRenderedPageBreak/>
        <w:t>più di 250 occupati e con un fatturato annuo che superi i 50 milioni di euro, oppure il cui totale di bilancio annuo superi i 43 milioni di euro, i cui effettivi e soglie finanziarie sono calcolabili secondo i criteri ed i principi stabiliti dalla raccomandazione 2003/362/CE della Commissione europea del 6 maggio 2003.</w:t>
      </w:r>
    </w:p>
    <w:p w14:paraId="635937AB" w14:textId="70B97D33" w:rsidR="00315091" w:rsidRPr="00315091" w:rsidRDefault="00315091" w:rsidP="00315091">
      <w:pPr>
        <w:shd w:val="clear" w:color="auto" w:fill="FFFFFF"/>
        <w:jc w:val="both"/>
        <w:rPr>
          <w:rFonts w:asciiTheme="minorHAnsi" w:hAnsiTheme="minorHAnsi" w:cstheme="minorHAnsi"/>
          <w:b/>
          <w:bCs/>
          <w:sz w:val="18"/>
          <w:szCs w:val="18"/>
        </w:rPr>
      </w:pPr>
    </w:p>
    <w:p w14:paraId="170504D1" w14:textId="36967FFF" w:rsidR="00315091" w:rsidRPr="00315091" w:rsidRDefault="00315091" w:rsidP="00315091">
      <w:pPr>
        <w:shd w:val="clear" w:color="auto" w:fill="FFFFFF"/>
        <w:jc w:val="both"/>
        <w:rPr>
          <w:rFonts w:asciiTheme="minorHAnsi" w:hAnsiTheme="minorHAnsi" w:cstheme="minorHAnsi"/>
          <w:b/>
          <w:bCs/>
          <w:sz w:val="22"/>
          <w:szCs w:val="22"/>
        </w:rPr>
      </w:pPr>
    </w:p>
    <w:p w14:paraId="46B92AB6" w14:textId="48A85020" w:rsidR="00315091" w:rsidRPr="00315091" w:rsidRDefault="00315091" w:rsidP="00315091">
      <w:pPr>
        <w:shd w:val="clear" w:color="auto" w:fill="FFFFFF"/>
        <w:jc w:val="both"/>
        <w:rPr>
          <w:rFonts w:asciiTheme="minorHAnsi" w:hAnsiTheme="minorHAnsi" w:cstheme="minorHAnsi"/>
          <w:b/>
          <w:bCs/>
          <w:sz w:val="22"/>
          <w:szCs w:val="22"/>
        </w:rPr>
      </w:pPr>
    </w:p>
    <w:p w14:paraId="6D33FF13" w14:textId="7ECD6540" w:rsidR="00315091" w:rsidRPr="00315091" w:rsidRDefault="00315091" w:rsidP="00315091">
      <w:pPr>
        <w:shd w:val="clear" w:color="auto" w:fill="FFFFFF"/>
        <w:jc w:val="both"/>
        <w:rPr>
          <w:rFonts w:asciiTheme="minorHAnsi" w:hAnsiTheme="minorHAnsi" w:cstheme="minorHAnsi"/>
          <w:b/>
          <w:bCs/>
          <w:sz w:val="22"/>
          <w:szCs w:val="22"/>
        </w:rPr>
      </w:pPr>
    </w:p>
    <w:p w14:paraId="28B23F50" w14:textId="5933ABAA" w:rsidR="00315091" w:rsidRPr="00315091" w:rsidRDefault="00315091" w:rsidP="00315091">
      <w:pPr>
        <w:shd w:val="clear" w:color="auto" w:fill="FFFFFF"/>
        <w:jc w:val="both"/>
        <w:rPr>
          <w:rFonts w:asciiTheme="minorHAnsi" w:hAnsiTheme="minorHAnsi" w:cstheme="minorHAnsi"/>
          <w:b/>
          <w:bCs/>
          <w:sz w:val="22"/>
          <w:szCs w:val="22"/>
        </w:rPr>
      </w:pPr>
    </w:p>
    <w:p w14:paraId="3BB916DA" w14:textId="77777777" w:rsidR="009C20B0" w:rsidRPr="00315091" w:rsidRDefault="009C20B0" w:rsidP="00315091">
      <w:pPr>
        <w:pStyle w:val="NormaleWeb"/>
        <w:jc w:val="both"/>
        <w:rPr>
          <w:rFonts w:asciiTheme="minorHAnsi" w:hAnsiTheme="minorHAnsi" w:cstheme="minorHAnsi"/>
          <w:sz w:val="22"/>
          <w:szCs w:val="22"/>
        </w:rPr>
      </w:pPr>
    </w:p>
    <w:p w14:paraId="559C0EBE" w14:textId="14D95700" w:rsidR="006411DF" w:rsidRPr="00315091" w:rsidRDefault="006411DF" w:rsidP="00315091">
      <w:pPr>
        <w:pStyle w:val="NormaleWeb"/>
        <w:jc w:val="both"/>
        <w:rPr>
          <w:rStyle w:val="Enfasigrassetto"/>
          <w:rFonts w:asciiTheme="minorHAnsi" w:hAnsiTheme="minorHAnsi" w:cstheme="minorHAnsi"/>
          <w:sz w:val="22"/>
          <w:szCs w:val="22"/>
        </w:rPr>
      </w:pPr>
      <w:r w:rsidRPr="00315091">
        <w:rPr>
          <w:rStyle w:val="Enfasigrassetto"/>
          <w:rFonts w:asciiTheme="minorHAnsi" w:hAnsiTheme="minorHAnsi" w:cstheme="minorHAnsi"/>
          <w:sz w:val="22"/>
          <w:szCs w:val="22"/>
        </w:rPr>
        <w:t>Riferimenti:</w:t>
      </w:r>
    </w:p>
    <w:p w14:paraId="5EEE77D9" w14:textId="77777777" w:rsidR="006411DF" w:rsidRPr="00315091" w:rsidRDefault="006411DF" w:rsidP="00315091">
      <w:pPr>
        <w:pStyle w:val="NormaleWeb"/>
        <w:jc w:val="both"/>
        <w:rPr>
          <w:rFonts w:asciiTheme="minorHAnsi" w:hAnsiTheme="minorHAnsi" w:cstheme="minorHAnsi"/>
          <w:sz w:val="22"/>
          <w:szCs w:val="22"/>
        </w:rPr>
      </w:pPr>
      <w:r w:rsidRPr="00315091">
        <w:rPr>
          <w:rFonts w:asciiTheme="minorHAnsi" w:hAnsiTheme="minorHAnsi" w:cstheme="minorHAnsi"/>
          <w:sz w:val="22"/>
          <w:szCs w:val="22"/>
        </w:rPr>
        <w:t>ANCE UMBRIA</w:t>
      </w:r>
    </w:p>
    <w:p w14:paraId="7D78A98D" w14:textId="6B907D09" w:rsidR="006411DF" w:rsidRPr="00315091" w:rsidRDefault="006411DF" w:rsidP="00315091">
      <w:pPr>
        <w:pStyle w:val="NormaleWeb"/>
        <w:jc w:val="both"/>
        <w:rPr>
          <w:rFonts w:asciiTheme="minorHAnsi" w:hAnsiTheme="minorHAnsi" w:cstheme="minorHAnsi"/>
          <w:sz w:val="22"/>
          <w:szCs w:val="22"/>
        </w:rPr>
      </w:pPr>
      <w:r w:rsidRPr="00315091">
        <w:rPr>
          <w:rFonts w:asciiTheme="minorHAnsi" w:hAnsiTheme="minorHAnsi" w:cstheme="minorHAnsi"/>
          <w:sz w:val="22"/>
          <w:szCs w:val="22"/>
        </w:rPr>
        <w:t xml:space="preserve">Perugia – </w:t>
      </w:r>
      <w:hyperlink r:id="rId14" w:history="1">
        <w:r w:rsidRPr="00344B54">
          <w:rPr>
            <w:rStyle w:val="Collegamentoipertestuale"/>
            <w:rFonts w:asciiTheme="minorHAnsi" w:hAnsiTheme="minorHAnsi" w:cstheme="minorHAnsi"/>
            <w:color w:val="0033CC"/>
            <w:sz w:val="22"/>
            <w:szCs w:val="22"/>
          </w:rPr>
          <w:t>info@anceumbria.it</w:t>
        </w:r>
      </w:hyperlink>
      <w:r w:rsidRPr="00315091">
        <w:rPr>
          <w:rFonts w:asciiTheme="minorHAnsi" w:hAnsiTheme="minorHAnsi" w:cstheme="minorHAnsi"/>
          <w:sz w:val="22"/>
          <w:szCs w:val="22"/>
        </w:rPr>
        <w:t xml:space="preserve"> - Tel. 075/582751</w:t>
      </w:r>
    </w:p>
    <w:p w14:paraId="190D91BE" w14:textId="469279D8" w:rsidR="006411DF" w:rsidRPr="00315091" w:rsidRDefault="006411DF" w:rsidP="00315091">
      <w:pPr>
        <w:pStyle w:val="NormaleWeb"/>
        <w:jc w:val="both"/>
        <w:rPr>
          <w:rFonts w:asciiTheme="minorHAnsi" w:hAnsiTheme="minorHAnsi" w:cstheme="minorHAnsi"/>
          <w:sz w:val="22"/>
          <w:szCs w:val="22"/>
        </w:rPr>
      </w:pPr>
      <w:r w:rsidRPr="00315091">
        <w:rPr>
          <w:rFonts w:asciiTheme="minorHAnsi" w:hAnsiTheme="minorHAnsi" w:cstheme="minorHAnsi"/>
          <w:sz w:val="22"/>
          <w:szCs w:val="22"/>
        </w:rPr>
        <w:t xml:space="preserve">Terni - </w:t>
      </w:r>
      <w:hyperlink r:id="rId15" w:history="1">
        <w:r w:rsidRPr="00344B54">
          <w:rPr>
            <w:rStyle w:val="Collegamentoipertestuale"/>
            <w:rFonts w:asciiTheme="minorHAnsi" w:hAnsiTheme="minorHAnsi" w:cstheme="minorHAnsi"/>
            <w:color w:val="0033CC"/>
            <w:sz w:val="22"/>
            <w:szCs w:val="22"/>
          </w:rPr>
          <w:t>edilizia@confindustria.terni.it</w:t>
        </w:r>
      </w:hyperlink>
      <w:r w:rsidRPr="00315091">
        <w:rPr>
          <w:rFonts w:asciiTheme="minorHAnsi" w:hAnsiTheme="minorHAnsi" w:cstheme="minorHAnsi"/>
          <w:sz w:val="22"/>
          <w:szCs w:val="22"/>
        </w:rPr>
        <w:t xml:space="preserve"> - Tel. 0744/443411</w:t>
      </w:r>
    </w:p>
    <w:p w14:paraId="389CE1E4" w14:textId="7F95CC6F" w:rsidR="005A6420" w:rsidRPr="00315091" w:rsidRDefault="005A6420" w:rsidP="00315091">
      <w:pPr>
        <w:tabs>
          <w:tab w:val="left" w:pos="720"/>
          <w:tab w:val="left" w:pos="900"/>
          <w:tab w:val="left" w:pos="1260"/>
          <w:tab w:val="left" w:pos="5580"/>
          <w:tab w:val="left" w:pos="6120"/>
        </w:tabs>
        <w:ind w:left="142" w:right="-2"/>
        <w:jc w:val="both"/>
        <w:rPr>
          <w:rFonts w:asciiTheme="minorHAnsi" w:hAnsiTheme="minorHAnsi" w:cstheme="minorHAnsi"/>
          <w:sz w:val="22"/>
          <w:szCs w:val="22"/>
        </w:rPr>
      </w:pPr>
    </w:p>
    <w:p w14:paraId="5547163E" w14:textId="0D5F794F" w:rsidR="00371573" w:rsidRPr="00315091" w:rsidRDefault="00371573" w:rsidP="00315091">
      <w:pPr>
        <w:tabs>
          <w:tab w:val="left" w:pos="720"/>
          <w:tab w:val="left" w:pos="900"/>
          <w:tab w:val="left" w:pos="1260"/>
          <w:tab w:val="left" w:pos="5580"/>
          <w:tab w:val="left" w:pos="6120"/>
        </w:tabs>
        <w:ind w:left="142" w:right="-2"/>
        <w:jc w:val="both"/>
        <w:rPr>
          <w:rFonts w:asciiTheme="minorHAnsi" w:hAnsiTheme="minorHAnsi" w:cstheme="minorHAnsi"/>
          <w:sz w:val="22"/>
          <w:szCs w:val="22"/>
        </w:rPr>
      </w:pPr>
    </w:p>
    <w:p w14:paraId="22BD74B0" w14:textId="59324520" w:rsidR="007930A8" w:rsidRPr="00315091" w:rsidRDefault="007930A8" w:rsidP="00315091">
      <w:pPr>
        <w:tabs>
          <w:tab w:val="left" w:pos="720"/>
          <w:tab w:val="left" w:pos="900"/>
          <w:tab w:val="left" w:pos="1260"/>
          <w:tab w:val="left" w:pos="5580"/>
          <w:tab w:val="left" w:pos="6120"/>
        </w:tabs>
        <w:ind w:left="142" w:right="-2"/>
        <w:jc w:val="both"/>
        <w:rPr>
          <w:rFonts w:asciiTheme="minorHAnsi" w:hAnsiTheme="minorHAnsi" w:cstheme="minorHAnsi"/>
          <w:sz w:val="22"/>
          <w:szCs w:val="22"/>
        </w:rPr>
      </w:pPr>
    </w:p>
    <w:p w14:paraId="7892B783" w14:textId="2F970318" w:rsidR="007930A8" w:rsidRPr="00315091" w:rsidRDefault="007930A8" w:rsidP="00315091">
      <w:pPr>
        <w:tabs>
          <w:tab w:val="left" w:pos="720"/>
          <w:tab w:val="left" w:pos="900"/>
          <w:tab w:val="left" w:pos="1260"/>
          <w:tab w:val="left" w:pos="5580"/>
          <w:tab w:val="left" w:pos="6120"/>
        </w:tabs>
        <w:ind w:left="142" w:right="-2"/>
        <w:jc w:val="both"/>
        <w:rPr>
          <w:rFonts w:asciiTheme="minorHAnsi" w:hAnsiTheme="minorHAnsi" w:cstheme="minorHAnsi"/>
          <w:sz w:val="22"/>
          <w:szCs w:val="22"/>
        </w:rPr>
      </w:pPr>
    </w:p>
    <w:p w14:paraId="4F5E75C7" w14:textId="75D926C3" w:rsidR="007930A8" w:rsidRPr="00315091" w:rsidRDefault="007930A8" w:rsidP="00315091">
      <w:pPr>
        <w:tabs>
          <w:tab w:val="left" w:pos="720"/>
          <w:tab w:val="left" w:pos="900"/>
          <w:tab w:val="left" w:pos="1260"/>
          <w:tab w:val="left" w:pos="5580"/>
          <w:tab w:val="left" w:pos="6120"/>
        </w:tabs>
        <w:ind w:left="142" w:right="-2"/>
        <w:jc w:val="both"/>
        <w:rPr>
          <w:rFonts w:asciiTheme="minorHAnsi" w:hAnsiTheme="minorHAnsi" w:cstheme="minorHAnsi"/>
          <w:sz w:val="22"/>
          <w:szCs w:val="22"/>
        </w:rPr>
      </w:pPr>
    </w:p>
    <w:p w14:paraId="015FEBE7" w14:textId="57E9BCFB" w:rsidR="007930A8" w:rsidRPr="00315091" w:rsidRDefault="007930A8" w:rsidP="00315091">
      <w:pPr>
        <w:tabs>
          <w:tab w:val="left" w:pos="720"/>
          <w:tab w:val="left" w:pos="900"/>
          <w:tab w:val="left" w:pos="1260"/>
          <w:tab w:val="left" w:pos="5580"/>
          <w:tab w:val="left" w:pos="6120"/>
        </w:tabs>
        <w:ind w:left="142" w:right="-2"/>
        <w:jc w:val="both"/>
        <w:rPr>
          <w:rFonts w:asciiTheme="minorHAnsi" w:hAnsiTheme="minorHAnsi" w:cstheme="minorHAnsi"/>
          <w:sz w:val="22"/>
          <w:szCs w:val="22"/>
        </w:rPr>
      </w:pPr>
    </w:p>
    <w:p w14:paraId="3D03CEA3" w14:textId="561B2645" w:rsidR="007930A8" w:rsidRPr="00315091" w:rsidRDefault="007930A8" w:rsidP="00315091">
      <w:pPr>
        <w:tabs>
          <w:tab w:val="left" w:pos="720"/>
          <w:tab w:val="left" w:pos="900"/>
          <w:tab w:val="left" w:pos="1260"/>
          <w:tab w:val="left" w:pos="5580"/>
          <w:tab w:val="left" w:pos="6120"/>
        </w:tabs>
        <w:ind w:left="142" w:right="-2"/>
        <w:jc w:val="both"/>
        <w:rPr>
          <w:rFonts w:asciiTheme="minorHAnsi" w:hAnsiTheme="minorHAnsi" w:cstheme="minorHAnsi"/>
          <w:sz w:val="22"/>
          <w:szCs w:val="22"/>
        </w:rPr>
      </w:pPr>
    </w:p>
    <w:p w14:paraId="6A9803D9" w14:textId="77777777" w:rsidR="007930A8" w:rsidRPr="00315091" w:rsidRDefault="007930A8" w:rsidP="00315091">
      <w:pPr>
        <w:tabs>
          <w:tab w:val="left" w:pos="720"/>
          <w:tab w:val="left" w:pos="900"/>
          <w:tab w:val="left" w:pos="1260"/>
          <w:tab w:val="left" w:pos="5580"/>
          <w:tab w:val="left" w:pos="6120"/>
        </w:tabs>
        <w:ind w:left="142" w:right="-2"/>
        <w:jc w:val="both"/>
        <w:rPr>
          <w:rFonts w:asciiTheme="minorHAnsi" w:hAnsiTheme="minorHAnsi" w:cstheme="minorHAnsi"/>
          <w:sz w:val="22"/>
          <w:szCs w:val="22"/>
        </w:rPr>
      </w:pPr>
    </w:p>
    <w:p w14:paraId="7FBCA73E" w14:textId="17528D11" w:rsidR="00783E6E" w:rsidRPr="00315091" w:rsidRDefault="00952E48" w:rsidP="00315091">
      <w:pPr>
        <w:tabs>
          <w:tab w:val="left" w:pos="720"/>
          <w:tab w:val="left" w:pos="900"/>
          <w:tab w:val="left" w:pos="1260"/>
          <w:tab w:val="left" w:pos="5580"/>
          <w:tab w:val="left" w:pos="6120"/>
        </w:tabs>
        <w:ind w:left="142" w:right="-2"/>
        <w:jc w:val="right"/>
        <w:rPr>
          <w:rFonts w:asciiTheme="minorHAnsi" w:hAnsiTheme="minorHAnsi" w:cstheme="minorHAnsi"/>
          <w:sz w:val="22"/>
          <w:szCs w:val="22"/>
        </w:rPr>
      </w:pPr>
      <w:r w:rsidRPr="00315091">
        <w:rPr>
          <w:rFonts w:asciiTheme="minorHAnsi" w:hAnsiTheme="minorHAnsi" w:cstheme="minorHAnsi"/>
          <w:sz w:val="22"/>
          <w:szCs w:val="22"/>
        </w:rPr>
        <w:t xml:space="preserve">Pubblicato il </w:t>
      </w:r>
      <w:r w:rsidR="00572EC8" w:rsidRPr="00315091">
        <w:rPr>
          <w:rFonts w:asciiTheme="minorHAnsi" w:hAnsiTheme="minorHAnsi" w:cstheme="minorHAnsi"/>
          <w:sz w:val="22"/>
          <w:szCs w:val="22"/>
        </w:rPr>
        <w:t>17</w:t>
      </w:r>
      <w:r w:rsidR="00FD4966" w:rsidRPr="00315091">
        <w:rPr>
          <w:rFonts w:asciiTheme="minorHAnsi" w:hAnsiTheme="minorHAnsi" w:cstheme="minorHAnsi"/>
          <w:sz w:val="22"/>
          <w:szCs w:val="22"/>
        </w:rPr>
        <w:t>/08</w:t>
      </w:r>
      <w:r w:rsidR="00297F87" w:rsidRPr="00315091">
        <w:rPr>
          <w:rFonts w:asciiTheme="minorHAnsi" w:hAnsiTheme="minorHAnsi" w:cstheme="minorHAnsi"/>
          <w:sz w:val="22"/>
          <w:szCs w:val="22"/>
        </w:rPr>
        <w:t>/2020</w:t>
      </w:r>
    </w:p>
    <w:sectPr w:rsidR="00783E6E" w:rsidRPr="00315091" w:rsidSect="004E62C8">
      <w:headerReference w:type="first" r:id="rId16"/>
      <w:footerReference w:type="first" r:id="rId17"/>
      <w:type w:val="continuous"/>
      <w:pgSz w:w="11906" w:h="16838" w:code="9"/>
      <w:pgMar w:top="993" w:right="1134" w:bottom="899" w:left="1985" w:header="1080" w:footer="381"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57E50" w14:textId="77777777" w:rsidR="007D346E" w:rsidRDefault="007D346E">
      <w:r>
        <w:separator/>
      </w:r>
    </w:p>
  </w:endnote>
  <w:endnote w:type="continuationSeparator" w:id="0">
    <w:p w14:paraId="0D68D33F" w14:textId="77777777" w:rsidR="007D346E" w:rsidRDefault="007D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Futura LT Book">
    <w:panose1 w:val="02000504030000020003"/>
    <w:charset w:val="00"/>
    <w:family w:val="auto"/>
    <w:pitch w:val="variable"/>
    <w:sig w:usb0="00000003" w:usb1="00000000" w:usb2="00000000" w:usb3="00000000" w:csb0="00000001" w:csb1="00000000"/>
  </w:font>
  <w:font w:name="Futura LT Light">
    <w:panose1 w:val="02000504030000020003"/>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4F788" w14:textId="77777777" w:rsidR="00151BDD" w:rsidRPr="004C2CC8" w:rsidRDefault="00BC4801" w:rsidP="00474ADE">
    <w:pPr>
      <w:tabs>
        <w:tab w:val="left" w:pos="900"/>
        <w:tab w:val="left" w:pos="1260"/>
        <w:tab w:val="left" w:pos="1620"/>
      </w:tabs>
      <w:rPr>
        <w:rFonts w:ascii="Futura LT Book" w:hAnsi="Futura LT Book"/>
        <w:b/>
        <w:color w:val="205394"/>
        <w:sz w:val="16"/>
        <w:szCs w:val="16"/>
      </w:rPr>
    </w:pPr>
    <w:r>
      <w:rPr>
        <w:rFonts w:ascii="Futura LT Book" w:hAnsi="Futura LT Book"/>
        <w:b/>
        <w:color w:val="205394"/>
        <w:sz w:val="16"/>
        <w:szCs w:val="16"/>
      </w:rPr>
      <w:t>Confindustria Umbria</w:t>
    </w:r>
  </w:p>
  <w:p w14:paraId="3908D6ED" w14:textId="77777777" w:rsidR="00151BDD" w:rsidRPr="004C2CC8" w:rsidRDefault="00BC4801"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 xml:space="preserve">Via Palermo, 80/A </w:t>
    </w:r>
    <w:r w:rsidR="00151BDD" w:rsidRPr="004C2CC8">
      <w:rPr>
        <w:rFonts w:ascii="Futura LT Book" w:hAnsi="Futura LT Book"/>
        <w:color w:val="205394"/>
        <w:sz w:val="16"/>
        <w:szCs w:val="16"/>
      </w:rPr>
      <w:t>0612</w:t>
    </w:r>
    <w:r w:rsidR="001E720B" w:rsidRPr="004C2CC8">
      <w:rPr>
        <w:rFonts w:ascii="Futura LT Book" w:hAnsi="Futura LT Book"/>
        <w:color w:val="205394"/>
        <w:sz w:val="16"/>
        <w:szCs w:val="16"/>
      </w:rPr>
      <w:t>4</w:t>
    </w:r>
    <w:r w:rsidR="00151BDD" w:rsidRPr="004C2CC8">
      <w:rPr>
        <w:rFonts w:ascii="Futura LT Book" w:hAnsi="Futura LT Book"/>
        <w:color w:val="205394"/>
        <w:sz w:val="16"/>
        <w:szCs w:val="16"/>
      </w:rPr>
      <w:t xml:space="preserve"> Perugia </w:t>
    </w:r>
  </w:p>
  <w:p w14:paraId="232A169E" w14:textId="77777777" w:rsidR="00151BDD" w:rsidRPr="004C2CC8" w:rsidRDefault="00151BDD" w:rsidP="00474ADE">
    <w:pPr>
      <w:tabs>
        <w:tab w:val="left" w:pos="900"/>
        <w:tab w:val="left" w:pos="1260"/>
        <w:tab w:val="left" w:pos="1620"/>
      </w:tabs>
      <w:rPr>
        <w:rFonts w:ascii="Futura LT Book" w:hAnsi="Futura LT Book"/>
        <w:color w:val="205394"/>
        <w:sz w:val="16"/>
        <w:szCs w:val="16"/>
      </w:rPr>
    </w:pPr>
    <w:r w:rsidRPr="004C2CC8">
      <w:rPr>
        <w:rFonts w:ascii="Futura LT Book" w:hAnsi="Futura LT Book"/>
        <w:color w:val="205394"/>
        <w:sz w:val="16"/>
        <w:szCs w:val="16"/>
      </w:rPr>
      <w:t>Telefono 075 582</w:t>
    </w:r>
    <w:r w:rsidR="00CB1898" w:rsidRPr="004C2CC8">
      <w:rPr>
        <w:rFonts w:ascii="Futura LT Book" w:hAnsi="Futura LT Book"/>
        <w:color w:val="205394"/>
        <w:sz w:val="16"/>
        <w:szCs w:val="16"/>
      </w:rPr>
      <w:t>01</w:t>
    </w:r>
    <w:r w:rsidRPr="004C2CC8">
      <w:rPr>
        <w:rFonts w:ascii="Futura LT Book" w:hAnsi="Futura LT Book"/>
        <w:color w:val="205394"/>
        <w:sz w:val="16"/>
        <w:szCs w:val="16"/>
      </w:rPr>
      <w:t xml:space="preserve"> – Fax 075 </w:t>
    </w:r>
    <w:r w:rsidR="00CB1898" w:rsidRPr="004C2CC8">
      <w:rPr>
        <w:rFonts w:ascii="Futura LT Book" w:hAnsi="Futura LT Book"/>
        <w:color w:val="205394"/>
        <w:sz w:val="16"/>
        <w:szCs w:val="16"/>
      </w:rPr>
      <w:t>32160</w:t>
    </w:r>
  </w:p>
  <w:p w14:paraId="20B2810B" w14:textId="77777777" w:rsidR="00151BDD" w:rsidRPr="004C2CC8" w:rsidRDefault="00952E48" w:rsidP="00474ADE">
    <w:pPr>
      <w:tabs>
        <w:tab w:val="left" w:pos="900"/>
        <w:tab w:val="left" w:pos="1260"/>
        <w:tab w:val="left" w:pos="1620"/>
      </w:tabs>
      <w:rPr>
        <w:rFonts w:ascii="Futura LT Book" w:hAnsi="Futura LT Book"/>
        <w:color w:val="205394"/>
        <w:sz w:val="16"/>
        <w:szCs w:val="16"/>
      </w:rPr>
    </w:pPr>
    <w:r>
      <w:rPr>
        <w:rFonts w:ascii="Futura LT Book" w:hAnsi="Futura LT Book"/>
        <w:color w:val="205394"/>
        <w:sz w:val="16"/>
        <w:szCs w:val="16"/>
      </w:rPr>
      <w:t>notiziario</w:t>
    </w:r>
    <w:r w:rsidR="00151BDD" w:rsidRPr="004C2CC8">
      <w:rPr>
        <w:rFonts w:ascii="Futura LT Book" w:hAnsi="Futura LT Book"/>
        <w:color w:val="205394"/>
        <w:sz w:val="16"/>
        <w:szCs w:val="16"/>
      </w:rPr>
      <w:t>@confindustria.umbria.it   www.confindustria.umbria.it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E5A43" w14:textId="77777777" w:rsidR="007D346E" w:rsidRDefault="007D346E">
      <w:r>
        <w:separator/>
      </w:r>
    </w:p>
  </w:footnote>
  <w:footnote w:type="continuationSeparator" w:id="0">
    <w:p w14:paraId="7B3A07D6" w14:textId="77777777" w:rsidR="007D346E" w:rsidRDefault="007D3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2578" w:type="dxa"/>
      <w:tblInd w:w="-792" w:type="dxa"/>
      <w:tblLayout w:type="fixed"/>
      <w:tblLook w:val="01E0" w:firstRow="1" w:lastRow="1" w:firstColumn="1" w:lastColumn="1" w:noHBand="0" w:noVBand="0"/>
    </w:tblPr>
    <w:tblGrid>
      <w:gridCol w:w="900"/>
      <w:gridCol w:w="5421"/>
      <w:gridCol w:w="1653"/>
      <w:gridCol w:w="4604"/>
    </w:tblGrid>
    <w:tr w:rsidR="001867E9" w14:paraId="1C413A52" w14:textId="77777777" w:rsidTr="00952E48">
      <w:tc>
        <w:tcPr>
          <w:tcW w:w="900" w:type="dxa"/>
        </w:tcPr>
        <w:p w14:paraId="13A69F8E" w14:textId="77777777" w:rsidR="001867E9" w:rsidRDefault="00344B54">
          <w:pPr>
            <w:tabs>
              <w:tab w:val="left" w:pos="720"/>
              <w:tab w:val="left" w:pos="900"/>
              <w:tab w:val="left" w:pos="1260"/>
              <w:tab w:val="left" w:pos="1980"/>
            </w:tabs>
          </w:pPr>
          <w:r>
            <w:rPr>
              <w:noProof/>
              <w:color w:val="205394"/>
            </w:rPr>
            <w:pict w14:anchorId="6656F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i1026" type="#_x0000_t75" alt="acquila" style="width:40.5pt;height:39pt;visibility:visible">
                <v:imagedata r:id="rId1" o:title="acquila"/>
              </v:shape>
            </w:pict>
          </w:r>
        </w:p>
      </w:tc>
      <w:tc>
        <w:tcPr>
          <w:tcW w:w="5421" w:type="dxa"/>
          <w:vAlign w:val="bottom"/>
        </w:tcPr>
        <w:p w14:paraId="7A43C720" w14:textId="77777777" w:rsidR="001867E9" w:rsidRPr="00895D5A" w:rsidRDefault="001867E9">
          <w:pPr>
            <w:tabs>
              <w:tab w:val="left" w:pos="720"/>
              <w:tab w:val="left" w:pos="900"/>
              <w:tab w:val="left" w:pos="1260"/>
              <w:tab w:val="left" w:pos="1980"/>
            </w:tabs>
            <w:ind w:left="-108"/>
            <w:rPr>
              <w:rFonts w:ascii="Futura LT Book" w:hAnsi="Futura LT Book"/>
              <w:color w:val="205394"/>
              <w:sz w:val="20"/>
              <w:szCs w:val="20"/>
            </w:rPr>
          </w:pPr>
          <w:r w:rsidRPr="00895D5A">
            <w:rPr>
              <w:rFonts w:ascii="Futura LT Book" w:hAnsi="Futura LT Book"/>
              <w:color w:val="205394"/>
              <w:sz w:val="20"/>
              <w:szCs w:val="20"/>
            </w:rPr>
            <w:t>CONFINDUSTRIA</w:t>
          </w:r>
          <w:r w:rsidR="00CB1898" w:rsidRPr="00895D5A">
            <w:rPr>
              <w:rFonts w:ascii="Futura LT Book" w:hAnsi="Futura LT Book"/>
              <w:color w:val="205394"/>
              <w:sz w:val="20"/>
              <w:szCs w:val="20"/>
            </w:rPr>
            <w:t xml:space="preserve"> UMBRIA</w:t>
          </w:r>
          <w:r w:rsidR="00952E48">
            <w:rPr>
              <w:rFonts w:ascii="Futura LT Book" w:hAnsi="Futura LT Book"/>
              <w:color w:val="205394"/>
              <w:sz w:val="20"/>
              <w:szCs w:val="20"/>
            </w:rPr>
            <w:t xml:space="preserve"> </w:t>
          </w:r>
          <w:r w:rsidR="00952E48" w:rsidRPr="00952E48">
            <w:rPr>
              <w:rFonts w:ascii="Futura LT Book" w:hAnsi="Futura LT Book"/>
              <w:color w:val="205394"/>
              <w:sz w:val="20"/>
              <w:szCs w:val="20"/>
            </w:rPr>
            <w:t>NEWS</w:t>
          </w:r>
          <w:r w:rsidR="00952E48">
            <w:rPr>
              <w:rFonts w:ascii="Futura LT Book" w:hAnsi="Futura LT Book"/>
              <w:color w:val="205394"/>
              <w:sz w:val="20"/>
              <w:szCs w:val="20"/>
            </w:rPr>
            <w:t xml:space="preserve"> </w:t>
          </w:r>
        </w:p>
      </w:tc>
      <w:tc>
        <w:tcPr>
          <w:tcW w:w="1653" w:type="dxa"/>
          <w:vAlign w:val="bottom"/>
        </w:tcPr>
        <w:p w14:paraId="153B0DD7" w14:textId="77777777" w:rsidR="001867E9" w:rsidRDefault="001867E9">
          <w:pPr>
            <w:tabs>
              <w:tab w:val="left" w:pos="720"/>
              <w:tab w:val="left" w:pos="900"/>
              <w:tab w:val="left" w:pos="1260"/>
              <w:tab w:val="left" w:pos="1980"/>
            </w:tabs>
          </w:pPr>
        </w:p>
      </w:tc>
      <w:tc>
        <w:tcPr>
          <w:tcW w:w="4604" w:type="dxa"/>
          <w:vAlign w:val="bottom"/>
        </w:tcPr>
        <w:p w14:paraId="158EA449" w14:textId="77777777" w:rsidR="001867E9" w:rsidRDefault="001867E9">
          <w:pPr>
            <w:rPr>
              <w:rFonts w:ascii="Futura LT Light" w:hAnsi="Futura LT Light"/>
              <w:color w:val="00247E"/>
              <w:sz w:val="20"/>
              <w:szCs w:val="20"/>
            </w:rPr>
          </w:pPr>
        </w:p>
      </w:tc>
    </w:tr>
    <w:tr w:rsidR="001867E9" w14:paraId="7D902A2D" w14:textId="77777777" w:rsidTr="00952E48">
      <w:tc>
        <w:tcPr>
          <w:tcW w:w="900" w:type="dxa"/>
        </w:tcPr>
        <w:p w14:paraId="0D671F4E" w14:textId="77777777" w:rsidR="001867E9" w:rsidRDefault="001867E9">
          <w:pPr>
            <w:tabs>
              <w:tab w:val="left" w:pos="720"/>
              <w:tab w:val="left" w:pos="900"/>
              <w:tab w:val="left" w:pos="1260"/>
              <w:tab w:val="left" w:pos="1980"/>
            </w:tabs>
          </w:pPr>
        </w:p>
      </w:tc>
      <w:tc>
        <w:tcPr>
          <w:tcW w:w="5421" w:type="dxa"/>
        </w:tcPr>
        <w:p w14:paraId="482899B3" w14:textId="77777777" w:rsidR="001867E9" w:rsidRDefault="001867E9">
          <w:pPr>
            <w:tabs>
              <w:tab w:val="left" w:pos="720"/>
              <w:tab w:val="left" w:pos="900"/>
              <w:tab w:val="left" w:pos="1260"/>
              <w:tab w:val="left" w:pos="1980"/>
            </w:tabs>
            <w:ind w:left="-108"/>
            <w:rPr>
              <w:rFonts w:ascii="Futura LT Book" w:hAnsi="Futura LT Book"/>
              <w:sz w:val="20"/>
            </w:rPr>
          </w:pPr>
        </w:p>
      </w:tc>
      <w:tc>
        <w:tcPr>
          <w:tcW w:w="1653" w:type="dxa"/>
        </w:tcPr>
        <w:p w14:paraId="589D41DD" w14:textId="77777777" w:rsidR="001867E9" w:rsidRDefault="001867E9">
          <w:pPr>
            <w:tabs>
              <w:tab w:val="left" w:pos="720"/>
              <w:tab w:val="left" w:pos="900"/>
              <w:tab w:val="left" w:pos="1260"/>
              <w:tab w:val="left" w:pos="1980"/>
            </w:tabs>
          </w:pPr>
        </w:p>
      </w:tc>
      <w:tc>
        <w:tcPr>
          <w:tcW w:w="4604" w:type="dxa"/>
        </w:tcPr>
        <w:p w14:paraId="23F4B353" w14:textId="77777777" w:rsidR="001867E9" w:rsidRDefault="001867E9">
          <w:pPr>
            <w:tabs>
              <w:tab w:val="left" w:pos="720"/>
              <w:tab w:val="left" w:pos="900"/>
              <w:tab w:val="left" w:pos="1260"/>
              <w:tab w:val="left" w:pos="1980"/>
            </w:tabs>
          </w:pPr>
        </w:p>
      </w:tc>
    </w:tr>
  </w:tbl>
  <w:p w14:paraId="1EAEF4F0" w14:textId="77777777" w:rsidR="001867E9" w:rsidRDefault="001867E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C05D1"/>
    <w:multiLevelType w:val="hybridMultilevel"/>
    <w:tmpl w:val="A0D45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6D87FDA"/>
    <w:multiLevelType w:val="multilevel"/>
    <w:tmpl w:val="50622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F37CA"/>
    <w:multiLevelType w:val="hybridMultilevel"/>
    <w:tmpl w:val="ACA47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8B3329"/>
    <w:multiLevelType w:val="multilevel"/>
    <w:tmpl w:val="BCBE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CA05A1"/>
    <w:multiLevelType w:val="multilevel"/>
    <w:tmpl w:val="47ECB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8C3BC2"/>
    <w:multiLevelType w:val="hybridMultilevel"/>
    <w:tmpl w:val="3D44CA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20488F"/>
    <w:multiLevelType w:val="multilevel"/>
    <w:tmpl w:val="A3822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CA4982"/>
    <w:multiLevelType w:val="multilevel"/>
    <w:tmpl w:val="82A6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F16C87"/>
    <w:multiLevelType w:val="hybridMultilevel"/>
    <w:tmpl w:val="8F5A164A"/>
    <w:lvl w:ilvl="0" w:tplc="52922C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9768B"/>
    <w:multiLevelType w:val="hybridMultilevel"/>
    <w:tmpl w:val="2410CC46"/>
    <w:styleLink w:val="Puntielenco"/>
    <w:lvl w:ilvl="0" w:tplc="4860FCE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41E2C70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DC1A55E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2EFAB04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345295D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BE9C116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59BCFE5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86EEB8D4">
      <w:start w:val="1"/>
      <w:numFmt w:val="bullet"/>
      <w:lvlText w:val="•"/>
      <w:lvlJc w:val="left"/>
      <w:pPr>
        <w:tabs>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3CF2870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03653BB"/>
    <w:multiLevelType w:val="multilevel"/>
    <w:tmpl w:val="D3C48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A81D29"/>
    <w:multiLevelType w:val="multilevel"/>
    <w:tmpl w:val="EFD0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A60AC7"/>
    <w:multiLevelType w:val="multilevel"/>
    <w:tmpl w:val="6B32B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3B3BBF"/>
    <w:multiLevelType w:val="multilevel"/>
    <w:tmpl w:val="7F78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37219F"/>
    <w:multiLevelType w:val="hybridMultilevel"/>
    <w:tmpl w:val="146E4008"/>
    <w:lvl w:ilvl="0" w:tplc="0410000F">
      <w:start w:val="1"/>
      <w:numFmt w:val="decimal"/>
      <w:lvlText w:val="%1."/>
      <w:lvlJc w:val="left"/>
      <w:pPr>
        <w:ind w:left="1515" w:hanging="360"/>
      </w:pPr>
    </w:lvl>
    <w:lvl w:ilvl="1" w:tplc="04100019" w:tentative="1">
      <w:start w:val="1"/>
      <w:numFmt w:val="lowerLetter"/>
      <w:lvlText w:val="%2."/>
      <w:lvlJc w:val="left"/>
      <w:pPr>
        <w:ind w:left="2235" w:hanging="360"/>
      </w:pPr>
    </w:lvl>
    <w:lvl w:ilvl="2" w:tplc="0410001B" w:tentative="1">
      <w:start w:val="1"/>
      <w:numFmt w:val="lowerRoman"/>
      <w:lvlText w:val="%3."/>
      <w:lvlJc w:val="right"/>
      <w:pPr>
        <w:ind w:left="2955" w:hanging="180"/>
      </w:pPr>
    </w:lvl>
    <w:lvl w:ilvl="3" w:tplc="0410000F" w:tentative="1">
      <w:start w:val="1"/>
      <w:numFmt w:val="decimal"/>
      <w:lvlText w:val="%4."/>
      <w:lvlJc w:val="left"/>
      <w:pPr>
        <w:ind w:left="3675" w:hanging="360"/>
      </w:pPr>
    </w:lvl>
    <w:lvl w:ilvl="4" w:tplc="04100019" w:tentative="1">
      <w:start w:val="1"/>
      <w:numFmt w:val="lowerLetter"/>
      <w:lvlText w:val="%5."/>
      <w:lvlJc w:val="left"/>
      <w:pPr>
        <w:ind w:left="4395" w:hanging="360"/>
      </w:pPr>
    </w:lvl>
    <w:lvl w:ilvl="5" w:tplc="0410001B" w:tentative="1">
      <w:start w:val="1"/>
      <w:numFmt w:val="lowerRoman"/>
      <w:lvlText w:val="%6."/>
      <w:lvlJc w:val="right"/>
      <w:pPr>
        <w:ind w:left="5115" w:hanging="180"/>
      </w:pPr>
    </w:lvl>
    <w:lvl w:ilvl="6" w:tplc="0410000F" w:tentative="1">
      <w:start w:val="1"/>
      <w:numFmt w:val="decimal"/>
      <w:lvlText w:val="%7."/>
      <w:lvlJc w:val="left"/>
      <w:pPr>
        <w:ind w:left="5835" w:hanging="360"/>
      </w:pPr>
    </w:lvl>
    <w:lvl w:ilvl="7" w:tplc="04100019" w:tentative="1">
      <w:start w:val="1"/>
      <w:numFmt w:val="lowerLetter"/>
      <w:lvlText w:val="%8."/>
      <w:lvlJc w:val="left"/>
      <w:pPr>
        <w:ind w:left="6555" w:hanging="360"/>
      </w:pPr>
    </w:lvl>
    <w:lvl w:ilvl="8" w:tplc="0410001B" w:tentative="1">
      <w:start w:val="1"/>
      <w:numFmt w:val="lowerRoman"/>
      <w:lvlText w:val="%9."/>
      <w:lvlJc w:val="right"/>
      <w:pPr>
        <w:ind w:left="7275" w:hanging="180"/>
      </w:pPr>
    </w:lvl>
  </w:abstractNum>
  <w:abstractNum w:abstractNumId="15" w15:restartNumberingAfterBreak="0">
    <w:nsid w:val="793D75C0"/>
    <w:multiLevelType w:val="hybridMultilevel"/>
    <w:tmpl w:val="E362D9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AD93450"/>
    <w:multiLevelType w:val="multilevel"/>
    <w:tmpl w:val="3D30DFF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972E2F"/>
    <w:multiLevelType w:val="hybridMultilevel"/>
    <w:tmpl w:val="0EF06C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15"/>
  </w:num>
  <w:num w:numId="5">
    <w:abstractNumId w:val="14"/>
  </w:num>
  <w:num w:numId="6">
    <w:abstractNumId w:val="0"/>
  </w:num>
  <w:num w:numId="7">
    <w:abstractNumId w:val="17"/>
  </w:num>
  <w:num w:numId="8">
    <w:abstractNumId w:val="8"/>
  </w:num>
  <w:num w:numId="9">
    <w:abstractNumId w:val="12"/>
  </w:num>
  <w:num w:numId="10">
    <w:abstractNumId w:val="16"/>
  </w:num>
  <w:num w:numId="11">
    <w:abstractNumId w:val="10"/>
  </w:num>
  <w:num w:numId="12">
    <w:abstractNumId w:val="1"/>
  </w:num>
  <w:num w:numId="13">
    <w:abstractNumId w:val="2"/>
  </w:num>
  <w:num w:numId="14">
    <w:abstractNumId w:val="13"/>
  </w:num>
  <w:num w:numId="15">
    <w:abstractNumId w:val="3"/>
  </w:num>
  <w:num w:numId="16">
    <w:abstractNumId w:val="11"/>
  </w:num>
  <w:num w:numId="17">
    <w:abstractNumId w:val="6"/>
  </w:num>
  <w:num w:numId="1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583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7418"/>
    <w:rsid w:val="000013D4"/>
    <w:rsid w:val="000018C4"/>
    <w:rsid w:val="00002340"/>
    <w:rsid w:val="00012716"/>
    <w:rsid w:val="000143BB"/>
    <w:rsid w:val="00014CFE"/>
    <w:rsid w:val="00016196"/>
    <w:rsid w:val="00030A72"/>
    <w:rsid w:val="000369D4"/>
    <w:rsid w:val="00037418"/>
    <w:rsid w:val="00040CFB"/>
    <w:rsid w:val="0004674A"/>
    <w:rsid w:val="00052071"/>
    <w:rsid w:val="000539CB"/>
    <w:rsid w:val="00053A2C"/>
    <w:rsid w:val="000614F9"/>
    <w:rsid w:val="000625BE"/>
    <w:rsid w:val="000637F2"/>
    <w:rsid w:val="000703BF"/>
    <w:rsid w:val="000742BE"/>
    <w:rsid w:val="00080ADD"/>
    <w:rsid w:val="00087150"/>
    <w:rsid w:val="0009085F"/>
    <w:rsid w:val="000B06C6"/>
    <w:rsid w:val="000B2103"/>
    <w:rsid w:val="000C53BB"/>
    <w:rsid w:val="000D0123"/>
    <w:rsid w:val="000D36C6"/>
    <w:rsid w:val="000D45D8"/>
    <w:rsid w:val="000D4668"/>
    <w:rsid w:val="000D4ADA"/>
    <w:rsid w:val="000E38C9"/>
    <w:rsid w:val="000E5710"/>
    <w:rsid w:val="000E6DB1"/>
    <w:rsid w:val="0010566D"/>
    <w:rsid w:val="00126D4F"/>
    <w:rsid w:val="001311CA"/>
    <w:rsid w:val="00134010"/>
    <w:rsid w:val="0013536D"/>
    <w:rsid w:val="00136808"/>
    <w:rsid w:val="00151B1D"/>
    <w:rsid w:val="00151BDD"/>
    <w:rsid w:val="00160F19"/>
    <w:rsid w:val="001674E2"/>
    <w:rsid w:val="00172666"/>
    <w:rsid w:val="00177173"/>
    <w:rsid w:val="00181F9E"/>
    <w:rsid w:val="001867E9"/>
    <w:rsid w:val="00197786"/>
    <w:rsid w:val="001A0EA6"/>
    <w:rsid w:val="001A61DB"/>
    <w:rsid w:val="001B0373"/>
    <w:rsid w:val="001B1366"/>
    <w:rsid w:val="001B68B7"/>
    <w:rsid w:val="001C016B"/>
    <w:rsid w:val="001C5C73"/>
    <w:rsid w:val="001D46AD"/>
    <w:rsid w:val="001D783D"/>
    <w:rsid w:val="001D7F3D"/>
    <w:rsid w:val="001E0909"/>
    <w:rsid w:val="001E1A02"/>
    <w:rsid w:val="001E720B"/>
    <w:rsid w:val="001F202A"/>
    <w:rsid w:val="001F48AB"/>
    <w:rsid w:val="001F4BA5"/>
    <w:rsid w:val="0020292B"/>
    <w:rsid w:val="00206722"/>
    <w:rsid w:val="00210ED4"/>
    <w:rsid w:val="002113BA"/>
    <w:rsid w:val="002166C4"/>
    <w:rsid w:val="0022540F"/>
    <w:rsid w:val="00230989"/>
    <w:rsid w:val="00237B46"/>
    <w:rsid w:val="00241A95"/>
    <w:rsid w:val="00242295"/>
    <w:rsid w:val="00254095"/>
    <w:rsid w:val="002650B4"/>
    <w:rsid w:val="002655A5"/>
    <w:rsid w:val="00265FD1"/>
    <w:rsid w:val="00267F8E"/>
    <w:rsid w:val="0027190F"/>
    <w:rsid w:val="0027421E"/>
    <w:rsid w:val="002743DA"/>
    <w:rsid w:val="00293463"/>
    <w:rsid w:val="002959ED"/>
    <w:rsid w:val="00297F87"/>
    <w:rsid w:val="002A6DFD"/>
    <w:rsid w:val="002B3446"/>
    <w:rsid w:val="002B5E47"/>
    <w:rsid w:val="002B7EEB"/>
    <w:rsid w:val="002D246E"/>
    <w:rsid w:val="002D2B28"/>
    <w:rsid w:val="002E4047"/>
    <w:rsid w:val="002F44A9"/>
    <w:rsid w:val="00300CDB"/>
    <w:rsid w:val="00306EA7"/>
    <w:rsid w:val="003114C4"/>
    <w:rsid w:val="00315031"/>
    <w:rsid w:val="00315091"/>
    <w:rsid w:val="00322EE8"/>
    <w:rsid w:val="00326815"/>
    <w:rsid w:val="003347DC"/>
    <w:rsid w:val="0034265F"/>
    <w:rsid w:val="00344B54"/>
    <w:rsid w:val="00363BF8"/>
    <w:rsid w:val="003646F3"/>
    <w:rsid w:val="00371573"/>
    <w:rsid w:val="00385BAE"/>
    <w:rsid w:val="003944BF"/>
    <w:rsid w:val="00395392"/>
    <w:rsid w:val="003A759E"/>
    <w:rsid w:val="003B0B57"/>
    <w:rsid w:val="003B6D95"/>
    <w:rsid w:val="003B7ED2"/>
    <w:rsid w:val="003C19FB"/>
    <w:rsid w:val="003C6682"/>
    <w:rsid w:val="003E5874"/>
    <w:rsid w:val="003F1228"/>
    <w:rsid w:val="0041047E"/>
    <w:rsid w:val="0041177C"/>
    <w:rsid w:val="0042052A"/>
    <w:rsid w:val="004353E3"/>
    <w:rsid w:val="004435C3"/>
    <w:rsid w:val="00454209"/>
    <w:rsid w:val="00462395"/>
    <w:rsid w:val="00465747"/>
    <w:rsid w:val="00472D2B"/>
    <w:rsid w:val="00474ADE"/>
    <w:rsid w:val="0047686E"/>
    <w:rsid w:val="00483E55"/>
    <w:rsid w:val="004A43B9"/>
    <w:rsid w:val="004A5095"/>
    <w:rsid w:val="004B0EF1"/>
    <w:rsid w:val="004B5C7B"/>
    <w:rsid w:val="004B691C"/>
    <w:rsid w:val="004C1CE6"/>
    <w:rsid w:val="004C2CC8"/>
    <w:rsid w:val="004C6703"/>
    <w:rsid w:val="004D48E8"/>
    <w:rsid w:val="004D4957"/>
    <w:rsid w:val="004E0C94"/>
    <w:rsid w:val="004E3922"/>
    <w:rsid w:val="004E62C8"/>
    <w:rsid w:val="004F2D22"/>
    <w:rsid w:val="00517FCD"/>
    <w:rsid w:val="00520F32"/>
    <w:rsid w:val="005276B5"/>
    <w:rsid w:val="0053112D"/>
    <w:rsid w:val="00531CA4"/>
    <w:rsid w:val="00532542"/>
    <w:rsid w:val="00534E4E"/>
    <w:rsid w:val="00546306"/>
    <w:rsid w:val="005615FE"/>
    <w:rsid w:val="00565BA4"/>
    <w:rsid w:val="00570DF9"/>
    <w:rsid w:val="00571AA5"/>
    <w:rsid w:val="00572355"/>
    <w:rsid w:val="00572EC8"/>
    <w:rsid w:val="00580D22"/>
    <w:rsid w:val="00583231"/>
    <w:rsid w:val="00585124"/>
    <w:rsid w:val="00585847"/>
    <w:rsid w:val="005952A0"/>
    <w:rsid w:val="005A2FBD"/>
    <w:rsid w:val="005A6420"/>
    <w:rsid w:val="005A68AC"/>
    <w:rsid w:val="005B0270"/>
    <w:rsid w:val="005B68CD"/>
    <w:rsid w:val="005C488C"/>
    <w:rsid w:val="005D26BF"/>
    <w:rsid w:val="005D2783"/>
    <w:rsid w:val="005E05F4"/>
    <w:rsid w:val="005E29D1"/>
    <w:rsid w:val="005E2A6A"/>
    <w:rsid w:val="005E5E6F"/>
    <w:rsid w:val="005E694F"/>
    <w:rsid w:val="005F136F"/>
    <w:rsid w:val="00600B26"/>
    <w:rsid w:val="00606C5A"/>
    <w:rsid w:val="0061389C"/>
    <w:rsid w:val="00617528"/>
    <w:rsid w:val="00625F3C"/>
    <w:rsid w:val="00627603"/>
    <w:rsid w:val="00633A04"/>
    <w:rsid w:val="00634F54"/>
    <w:rsid w:val="006370DF"/>
    <w:rsid w:val="006411A6"/>
    <w:rsid w:val="006411DF"/>
    <w:rsid w:val="00646791"/>
    <w:rsid w:val="00654840"/>
    <w:rsid w:val="00673C44"/>
    <w:rsid w:val="00684F34"/>
    <w:rsid w:val="00686CD4"/>
    <w:rsid w:val="0069445C"/>
    <w:rsid w:val="00696623"/>
    <w:rsid w:val="006A03F2"/>
    <w:rsid w:val="006A2CD6"/>
    <w:rsid w:val="006C0F54"/>
    <w:rsid w:val="006C26BE"/>
    <w:rsid w:val="006C4649"/>
    <w:rsid w:val="006C5530"/>
    <w:rsid w:val="006C6827"/>
    <w:rsid w:val="006D187D"/>
    <w:rsid w:val="006E4E22"/>
    <w:rsid w:val="006E64CC"/>
    <w:rsid w:val="006E71D6"/>
    <w:rsid w:val="006F3D2C"/>
    <w:rsid w:val="006F4A89"/>
    <w:rsid w:val="007006D5"/>
    <w:rsid w:val="00706997"/>
    <w:rsid w:val="00710780"/>
    <w:rsid w:val="007120A3"/>
    <w:rsid w:val="007212D6"/>
    <w:rsid w:val="00721719"/>
    <w:rsid w:val="007268E0"/>
    <w:rsid w:val="007278BF"/>
    <w:rsid w:val="00727E86"/>
    <w:rsid w:val="00730857"/>
    <w:rsid w:val="007336E8"/>
    <w:rsid w:val="00744DE8"/>
    <w:rsid w:val="00745E91"/>
    <w:rsid w:val="00754C9D"/>
    <w:rsid w:val="0075722D"/>
    <w:rsid w:val="00761C9E"/>
    <w:rsid w:val="00764518"/>
    <w:rsid w:val="00766FFC"/>
    <w:rsid w:val="00775FF9"/>
    <w:rsid w:val="00783E6E"/>
    <w:rsid w:val="007872ED"/>
    <w:rsid w:val="007900D5"/>
    <w:rsid w:val="007911A1"/>
    <w:rsid w:val="00792D99"/>
    <w:rsid w:val="007930A8"/>
    <w:rsid w:val="00793849"/>
    <w:rsid w:val="00796CE5"/>
    <w:rsid w:val="007A106A"/>
    <w:rsid w:val="007A4BC4"/>
    <w:rsid w:val="007B0324"/>
    <w:rsid w:val="007B0D7B"/>
    <w:rsid w:val="007B28C2"/>
    <w:rsid w:val="007B4F16"/>
    <w:rsid w:val="007B72D4"/>
    <w:rsid w:val="007B7550"/>
    <w:rsid w:val="007C1279"/>
    <w:rsid w:val="007D0756"/>
    <w:rsid w:val="007D102D"/>
    <w:rsid w:val="007D346E"/>
    <w:rsid w:val="007E02A8"/>
    <w:rsid w:val="007E1CB1"/>
    <w:rsid w:val="007E52F6"/>
    <w:rsid w:val="007E7A85"/>
    <w:rsid w:val="007F16F9"/>
    <w:rsid w:val="007F7D2A"/>
    <w:rsid w:val="00801AE3"/>
    <w:rsid w:val="008021EA"/>
    <w:rsid w:val="0080382C"/>
    <w:rsid w:val="008050CE"/>
    <w:rsid w:val="008122F0"/>
    <w:rsid w:val="00814B6A"/>
    <w:rsid w:val="00827AA4"/>
    <w:rsid w:val="0083206A"/>
    <w:rsid w:val="008324D4"/>
    <w:rsid w:val="00842CAC"/>
    <w:rsid w:val="0085090E"/>
    <w:rsid w:val="00876261"/>
    <w:rsid w:val="0089242A"/>
    <w:rsid w:val="00895D5A"/>
    <w:rsid w:val="008B3432"/>
    <w:rsid w:val="008B5620"/>
    <w:rsid w:val="008C21F3"/>
    <w:rsid w:val="008C6FB9"/>
    <w:rsid w:val="008E4D83"/>
    <w:rsid w:val="008F7F38"/>
    <w:rsid w:val="009023F1"/>
    <w:rsid w:val="0091416E"/>
    <w:rsid w:val="0092313F"/>
    <w:rsid w:val="00924F70"/>
    <w:rsid w:val="009259DA"/>
    <w:rsid w:val="00930421"/>
    <w:rsid w:val="00933A9A"/>
    <w:rsid w:val="00935FD9"/>
    <w:rsid w:val="00936AC3"/>
    <w:rsid w:val="00943AF3"/>
    <w:rsid w:val="00947B49"/>
    <w:rsid w:val="00951362"/>
    <w:rsid w:val="00952E48"/>
    <w:rsid w:val="00962B81"/>
    <w:rsid w:val="00964D43"/>
    <w:rsid w:val="00972881"/>
    <w:rsid w:val="009A181B"/>
    <w:rsid w:val="009A600B"/>
    <w:rsid w:val="009B0727"/>
    <w:rsid w:val="009B370B"/>
    <w:rsid w:val="009C20B0"/>
    <w:rsid w:val="009C5511"/>
    <w:rsid w:val="009C66FF"/>
    <w:rsid w:val="009D0AE2"/>
    <w:rsid w:val="009D26C3"/>
    <w:rsid w:val="009D42AF"/>
    <w:rsid w:val="009D58A8"/>
    <w:rsid w:val="009E0FC5"/>
    <w:rsid w:val="009E313A"/>
    <w:rsid w:val="009E5252"/>
    <w:rsid w:val="009E718E"/>
    <w:rsid w:val="009F00C9"/>
    <w:rsid w:val="009F30D5"/>
    <w:rsid w:val="00A00CC0"/>
    <w:rsid w:val="00A02167"/>
    <w:rsid w:val="00A029FA"/>
    <w:rsid w:val="00A100C9"/>
    <w:rsid w:val="00A108C5"/>
    <w:rsid w:val="00A2160D"/>
    <w:rsid w:val="00A238E8"/>
    <w:rsid w:val="00A27F82"/>
    <w:rsid w:val="00A35E9C"/>
    <w:rsid w:val="00A549EE"/>
    <w:rsid w:val="00A554C8"/>
    <w:rsid w:val="00A5706E"/>
    <w:rsid w:val="00A65A7B"/>
    <w:rsid w:val="00A72245"/>
    <w:rsid w:val="00A7325D"/>
    <w:rsid w:val="00A86C5A"/>
    <w:rsid w:val="00A874BE"/>
    <w:rsid w:val="00A92403"/>
    <w:rsid w:val="00AA0D22"/>
    <w:rsid w:val="00AA32FA"/>
    <w:rsid w:val="00AA755B"/>
    <w:rsid w:val="00AA7A03"/>
    <w:rsid w:val="00AB5961"/>
    <w:rsid w:val="00AC09F6"/>
    <w:rsid w:val="00AC0DA4"/>
    <w:rsid w:val="00AC363E"/>
    <w:rsid w:val="00AD6736"/>
    <w:rsid w:val="00AE4116"/>
    <w:rsid w:val="00AE484B"/>
    <w:rsid w:val="00AE7C4C"/>
    <w:rsid w:val="00AF1207"/>
    <w:rsid w:val="00AF303A"/>
    <w:rsid w:val="00AF4404"/>
    <w:rsid w:val="00AF4D79"/>
    <w:rsid w:val="00AF6300"/>
    <w:rsid w:val="00B1385A"/>
    <w:rsid w:val="00B203AC"/>
    <w:rsid w:val="00B23422"/>
    <w:rsid w:val="00B27B4F"/>
    <w:rsid w:val="00B27DA0"/>
    <w:rsid w:val="00B34B96"/>
    <w:rsid w:val="00B37E06"/>
    <w:rsid w:val="00B44EC6"/>
    <w:rsid w:val="00B55997"/>
    <w:rsid w:val="00B56F41"/>
    <w:rsid w:val="00B71AF1"/>
    <w:rsid w:val="00B74B3D"/>
    <w:rsid w:val="00B90950"/>
    <w:rsid w:val="00B954F6"/>
    <w:rsid w:val="00B9787B"/>
    <w:rsid w:val="00B97A78"/>
    <w:rsid w:val="00BA6BD6"/>
    <w:rsid w:val="00BA7B76"/>
    <w:rsid w:val="00BB7D4D"/>
    <w:rsid w:val="00BC0691"/>
    <w:rsid w:val="00BC4801"/>
    <w:rsid w:val="00BD3C2C"/>
    <w:rsid w:val="00BD60DB"/>
    <w:rsid w:val="00C10A7A"/>
    <w:rsid w:val="00C13B4C"/>
    <w:rsid w:val="00C27714"/>
    <w:rsid w:val="00C433AC"/>
    <w:rsid w:val="00C46AA6"/>
    <w:rsid w:val="00C6046C"/>
    <w:rsid w:val="00C6483F"/>
    <w:rsid w:val="00C7079A"/>
    <w:rsid w:val="00C82C7A"/>
    <w:rsid w:val="00C86132"/>
    <w:rsid w:val="00C92C40"/>
    <w:rsid w:val="00C93D89"/>
    <w:rsid w:val="00C96C69"/>
    <w:rsid w:val="00CA1FD0"/>
    <w:rsid w:val="00CA32BA"/>
    <w:rsid w:val="00CA5FB4"/>
    <w:rsid w:val="00CA677D"/>
    <w:rsid w:val="00CB0B8E"/>
    <w:rsid w:val="00CB1898"/>
    <w:rsid w:val="00CB302D"/>
    <w:rsid w:val="00CC42BA"/>
    <w:rsid w:val="00CD2F0A"/>
    <w:rsid w:val="00CD4A8E"/>
    <w:rsid w:val="00CE5F79"/>
    <w:rsid w:val="00CF1412"/>
    <w:rsid w:val="00CF6D2A"/>
    <w:rsid w:val="00D05B8F"/>
    <w:rsid w:val="00D06063"/>
    <w:rsid w:val="00D102CD"/>
    <w:rsid w:val="00D12686"/>
    <w:rsid w:val="00D12E1E"/>
    <w:rsid w:val="00D13CAB"/>
    <w:rsid w:val="00D2250C"/>
    <w:rsid w:val="00D24A1C"/>
    <w:rsid w:val="00D25CF8"/>
    <w:rsid w:val="00D30E39"/>
    <w:rsid w:val="00D327D9"/>
    <w:rsid w:val="00D32FC7"/>
    <w:rsid w:val="00D35077"/>
    <w:rsid w:val="00D403FB"/>
    <w:rsid w:val="00D42C91"/>
    <w:rsid w:val="00D46D8F"/>
    <w:rsid w:val="00D50F2A"/>
    <w:rsid w:val="00D54D0D"/>
    <w:rsid w:val="00D551CF"/>
    <w:rsid w:val="00D66BBB"/>
    <w:rsid w:val="00D70745"/>
    <w:rsid w:val="00D71FF5"/>
    <w:rsid w:val="00D74092"/>
    <w:rsid w:val="00D77E54"/>
    <w:rsid w:val="00D9275A"/>
    <w:rsid w:val="00DA4273"/>
    <w:rsid w:val="00DA5995"/>
    <w:rsid w:val="00DB3985"/>
    <w:rsid w:val="00DB4953"/>
    <w:rsid w:val="00DC0ED4"/>
    <w:rsid w:val="00DC7F97"/>
    <w:rsid w:val="00DD019F"/>
    <w:rsid w:val="00DE15E7"/>
    <w:rsid w:val="00DF5163"/>
    <w:rsid w:val="00E15D00"/>
    <w:rsid w:val="00E20570"/>
    <w:rsid w:val="00E209CB"/>
    <w:rsid w:val="00E25D34"/>
    <w:rsid w:val="00E273B4"/>
    <w:rsid w:val="00E31E8B"/>
    <w:rsid w:val="00E36D39"/>
    <w:rsid w:val="00E44B8E"/>
    <w:rsid w:val="00E47D5B"/>
    <w:rsid w:val="00E5260E"/>
    <w:rsid w:val="00E56C4C"/>
    <w:rsid w:val="00E71CEB"/>
    <w:rsid w:val="00E74979"/>
    <w:rsid w:val="00E83FD1"/>
    <w:rsid w:val="00E906B5"/>
    <w:rsid w:val="00E909DF"/>
    <w:rsid w:val="00EA4465"/>
    <w:rsid w:val="00EB1B2C"/>
    <w:rsid w:val="00EB54EC"/>
    <w:rsid w:val="00EB5F34"/>
    <w:rsid w:val="00EB6196"/>
    <w:rsid w:val="00EB749A"/>
    <w:rsid w:val="00EC0D5D"/>
    <w:rsid w:val="00ED1726"/>
    <w:rsid w:val="00ED2018"/>
    <w:rsid w:val="00ED2B9F"/>
    <w:rsid w:val="00ED6E2C"/>
    <w:rsid w:val="00ED7B1E"/>
    <w:rsid w:val="00EE18FB"/>
    <w:rsid w:val="00EF1C88"/>
    <w:rsid w:val="00EF69AE"/>
    <w:rsid w:val="00F06540"/>
    <w:rsid w:val="00F136B4"/>
    <w:rsid w:val="00F169DE"/>
    <w:rsid w:val="00F23D65"/>
    <w:rsid w:val="00F31A89"/>
    <w:rsid w:val="00F32A75"/>
    <w:rsid w:val="00F4051C"/>
    <w:rsid w:val="00F4663F"/>
    <w:rsid w:val="00F51DA0"/>
    <w:rsid w:val="00F52882"/>
    <w:rsid w:val="00F53831"/>
    <w:rsid w:val="00F53938"/>
    <w:rsid w:val="00F53F66"/>
    <w:rsid w:val="00F60480"/>
    <w:rsid w:val="00F623AC"/>
    <w:rsid w:val="00F804E0"/>
    <w:rsid w:val="00F80976"/>
    <w:rsid w:val="00F81262"/>
    <w:rsid w:val="00F81771"/>
    <w:rsid w:val="00F9163B"/>
    <w:rsid w:val="00F94CCF"/>
    <w:rsid w:val="00FA52B2"/>
    <w:rsid w:val="00FC5166"/>
    <w:rsid w:val="00FC53D5"/>
    <w:rsid w:val="00FC6664"/>
    <w:rsid w:val="00FD49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14:docId w14:val="60D7E19B"/>
  <w15:docId w15:val="{AC4CA1ED-655B-4B83-9704-4CC53F2C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D26C3"/>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uiPriority w:val="99"/>
    <w:rPr>
      <w:color w:val="0000FF"/>
      <w:u w:val="single"/>
    </w:rPr>
  </w:style>
  <w:style w:type="paragraph" w:styleId="Paragrafoelenco">
    <w:name w:val="List Paragraph"/>
    <w:basedOn w:val="Normale"/>
    <w:uiPriority w:val="34"/>
    <w:qFormat/>
    <w:rsid w:val="00952E48"/>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8F7F38"/>
    <w:pPr>
      <w:autoSpaceDE w:val="0"/>
      <w:autoSpaceDN w:val="0"/>
      <w:adjustRightInd w:val="0"/>
    </w:pPr>
    <w:rPr>
      <w:rFonts w:eastAsia="Calibri"/>
      <w:color w:val="000000"/>
      <w:sz w:val="24"/>
      <w:szCs w:val="24"/>
      <w:lang w:eastAsia="en-US"/>
    </w:rPr>
  </w:style>
  <w:style w:type="character" w:styleId="Menzionenonrisolta">
    <w:name w:val="Unresolved Mention"/>
    <w:uiPriority w:val="99"/>
    <w:semiHidden/>
    <w:unhideWhenUsed/>
    <w:rsid w:val="003347DC"/>
    <w:rPr>
      <w:color w:val="605E5C"/>
      <w:shd w:val="clear" w:color="auto" w:fill="E1DFDD"/>
    </w:rPr>
  </w:style>
  <w:style w:type="character" w:styleId="Enfasigrassetto">
    <w:name w:val="Strong"/>
    <w:uiPriority w:val="22"/>
    <w:qFormat/>
    <w:rsid w:val="0009085F"/>
    <w:rPr>
      <w:b/>
      <w:bCs/>
    </w:rPr>
  </w:style>
  <w:style w:type="paragraph" w:styleId="NormaleWeb">
    <w:name w:val="Normal (Web)"/>
    <w:basedOn w:val="Normale"/>
    <w:uiPriority w:val="99"/>
    <w:semiHidden/>
    <w:unhideWhenUsed/>
    <w:rsid w:val="00C93D89"/>
  </w:style>
  <w:style w:type="character" w:styleId="Enfasicorsivo">
    <w:name w:val="Emphasis"/>
    <w:uiPriority w:val="20"/>
    <w:qFormat/>
    <w:rsid w:val="00633A04"/>
    <w:rPr>
      <w:i/>
      <w:iCs/>
    </w:rPr>
  </w:style>
  <w:style w:type="paragraph" w:customStyle="1" w:styleId="Didefault">
    <w:name w:val="Di default"/>
    <w:rsid w:val="002B344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Puntielenco">
    <w:name w:val="Punti elenco"/>
    <w:rsid w:val="002B3446"/>
    <w:pPr>
      <w:numPr>
        <w:numId w:val="1"/>
      </w:numPr>
    </w:pPr>
  </w:style>
  <w:style w:type="character" w:customStyle="1" w:styleId="Nessuno">
    <w:name w:val="Nessuno"/>
    <w:rsid w:val="002B3446"/>
  </w:style>
  <w:style w:type="character" w:customStyle="1" w:styleId="Hyperlink1">
    <w:name w:val="Hyperlink.1"/>
    <w:rsid w:val="002B3446"/>
    <w:rPr>
      <w:rFonts w:ascii="Tahoma" w:eastAsia="Tahoma" w:hAnsi="Tahoma" w:cs="Tahoma"/>
      <w:outline w:val="0"/>
      <w:color w:val="0070C0"/>
      <w:u w:val="single" w:color="0070C0"/>
    </w:rPr>
  </w:style>
  <w:style w:type="character" w:customStyle="1" w:styleId="Hyperlink0">
    <w:name w:val="Hyperlink.0"/>
    <w:rsid w:val="002B3446"/>
    <w:rPr>
      <w:outline w:val="0"/>
      <w:color w:val="0000FF"/>
      <w:u w:val="single" w:color="0000FF"/>
    </w:rPr>
  </w:style>
  <w:style w:type="paragraph" w:styleId="Testonormale">
    <w:name w:val="Plain Text"/>
    <w:basedOn w:val="Normale"/>
    <w:link w:val="TestonormaleCarattere"/>
    <w:uiPriority w:val="99"/>
    <w:semiHidden/>
    <w:unhideWhenUsed/>
    <w:rsid w:val="00A549EE"/>
    <w:rPr>
      <w:rFonts w:ascii="Calibri" w:eastAsia="Calibri" w:hAnsi="Calibri" w:cs="Calibri"/>
      <w:sz w:val="22"/>
      <w:szCs w:val="22"/>
    </w:rPr>
  </w:style>
  <w:style w:type="character" w:customStyle="1" w:styleId="TestonormaleCarattere">
    <w:name w:val="Testo normale Carattere"/>
    <w:basedOn w:val="Carpredefinitoparagrafo"/>
    <w:link w:val="Testonormale"/>
    <w:uiPriority w:val="99"/>
    <w:semiHidden/>
    <w:rsid w:val="00A549EE"/>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9427">
      <w:bodyDiv w:val="1"/>
      <w:marLeft w:val="0"/>
      <w:marRight w:val="0"/>
      <w:marTop w:val="0"/>
      <w:marBottom w:val="0"/>
      <w:divBdr>
        <w:top w:val="none" w:sz="0" w:space="0" w:color="auto"/>
        <w:left w:val="none" w:sz="0" w:space="0" w:color="auto"/>
        <w:bottom w:val="none" w:sz="0" w:space="0" w:color="auto"/>
        <w:right w:val="none" w:sz="0" w:space="0" w:color="auto"/>
      </w:divBdr>
    </w:div>
    <w:div w:id="88552626">
      <w:bodyDiv w:val="1"/>
      <w:marLeft w:val="0"/>
      <w:marRight w:val="0"/>
      <w:marTop w:val="0"/>
      <w:marBottom w:val="0"/>
      <w:divBdr>
        <w:top w:val="none" w:sz="0" w:space="0" w:color="auto"/>
        <w:left w:val="none" w:sz="0" w:space="0" w:color="auto"/>
        <w:bottom w:val="none" w:sz="0" w:space="0" w:color="auto"/>
        <w:right w:val="none" w:sz="0" w:space="0" w:color="auto"/>
      </w:divBdr>
    </w:div>
    <w:div w:id="97024684">
      <w:bodyDiv w:val="1"/>
      <w:marLeft w:val="0"/>
      <w:marRight w:val="0"/>
      <w:marTop w:val="0"/>
      <w:marBottom w:val="0"/>
      <w:divBdr>
        <w:top w:val="none" w:sz="0" w:space="0" w:color="auto"/>
        <w:left w:val="none" w:sz="0" w:space="0" w:color="auto"/>
        <w:bottom w:val="none" w:sz="0" w:space="0" w:color="auto"/>
        <w:right w:val="none" w:sz="0" w:space="0" w:color="auto"/>
      </w:divBdr>
      <w:divsChild>
        <w:div w:id="255135011">
          <w:marLeft w:val="0"/>
          <w:marRight w:val="0"/>
          <w:marTop w:val="0"/>
          <w:marBottom w:val="0"/>
          <w:divBdr>
            <w:top w:val="none" w:sz="0" w:space="0" w:color="auto"/>
            <w:left w:val="none" w:sz="0" w:space="0" w:color="auto"/>
            <w:bottom w:val="none" w:sz="0" w:space="0" w:color="auto"/>
            <w:right w:val="none" w:sz="0" w:space="0" w:color="auto"/>
          </w:divBdr>
        </w:div>
      </w:divsChild>
    </w:div>
    <w:div w:id="172109742">
      <w:bodyDiv w:val="1"/>
      <w:marLeft w:val="0"/>
      <w:marRight w:val="0"/>
      <w:marTop w:val="0"/>
      <w:marBottom w:val="0"/>
      <w:divBdr>
        <w:top w:val="none" w:sz="0" w:space="0" w:color="auto"/>
        <w:left w:val="none" w:sz="0" w:space="0" w:color="auto"/>
        <w:bottom w:val="none" w:sz="0" w:space="0" w:color="auto"/>
        <w:right w:val="none" w:sz="0" w:space="0" w:color="auto"/>
      </w:divBdr>
    </w:div>
    <w:div w:id="228418633">
      <w:bodyDiv w:val="1"/>
      <w:marLeft w:val="0"/>
      <w:marRight w:val="0"/>
      <w:marTop w:val="0"/>
      <w:marBottom w:val="0"/>
      <w:divBdr>
        <w:top w:val="none" w:sz="0" w:space="0" w:color="auto"/>
        <w:left w:val="none" w:sz="0" w:space="0" w:color="auto"/>
        <w:bottom w:val="none" w:sz="0" w:space="0" w:color="auto"/>
        <w:right w:val="none" w:sz="0" w:space="0" w:color="auto"/>
      </w:divBdr>
    </w:div>
    <w:div w:id="234709877">
      <w:bodyDiv w:val="1"/>
      <w:marLeft w:val="0"/>
      <w:marRight w:val="0"/>
      <w:marTop w:val="0"/>
      <w:marBottom w:val="0"/>
      <w:divBdr>
        <w:top w:val="none" w:sz="0" w:space="0" w:color="auto"/>
        <w:left w:val="none" w:sz="0" w:space="0" w:color="auto"/>
        <w:bottom w:val="none" w:sz="0" w:space="0" w:color="auto"/>
        <w:right w:val="none" w:sz="0" w:space="0" w:color="auto"/>
      </w:divBdr>
    </w:div>
    <w:div w:id="237323157">
      <w:bodyDiv w:val="1"/>
      <w:marLeft w:val="0"/>
      <w:marRight w:val="0"/>
      <w:marTop w:val="0"/>
      <w:marBottom w:val="0"/>
      <w:divBdr>
        <w:top w:val="none" w:sz="0" w:space="0" w:color="auto"/>
        <w:left w:val="none" w:sz="0" w:space="0" w:color="auto"/>
        <w:bottom w:val="none" w:sz="0" w:space="0" w:color="auto"/>
        <w:right w:val="none" w:sz="0" w:space="0" w:color="auto"/>
      </w:divBdr>
    </w:div>
    <w:div w:id="308097474">
      <w:bodyDiv w:val="1"/>
      <w:marLeft w:val="0"/>
      <w:marRight w:val="0"/>
      <w:marTop w:val="0"/>
      <w:marBottom w:val="0"/>
      <w:divBdr>
        <w:top w:val="none" w:sz="0" w:space="0" w:color="auto"/>
        <w:left w:val="none" w:sz="0" w:space="0" w:color="auto"/>
        <w:bottom w:val="none" w:sz="0" w:space="0" w:color="auto"/>
        <w:right w:val="none" w:sz="0" w:space="0" w:color="auto"/>
      </w:divBdr>
    </w:div>
    <w:div w:id="318507793">
      <w:bodyDiv w:val="1"/>
      <w:marLeft w:val="0"/>
      <w:marRight w:val="0"/>
      <w:marTop w:val="0"/>
      <w:marBottom w:val="0"/>
      <w:divBdr>
        <w:top w:val="none" w:sz="0" w:space="0" w:color="auto"/>
        <w:left w:val="none" w:sz="0" w:space="0" w:color="auto"/>
        <w:bottom w:val="none" w:sz="0" w:space="0" w:color="auto"/>
        <w:right w:val="none" w:sz="0" w:space="0" w:color="auto"/>
      </w:divBdr>
    </w:div>
    <w:div w:id="318659278">
      <w:bodyDiv w:val="1"/>
      <w:marLeft w:val="0"/>
      <w:marRight w:val="0"/>
      <w:marTop w:val="0"/>
      <w:marBottom w:val="0"/>
      <w:divBdr>
        <w:top w:val="none" w:sz="0" w:space="0" w:color="auto"/>
        <w:left w:val="none" w:sz="0" w:space="0" w:color="auto"/>
        <w:bottom w:val="none" w:sz="0" w:space="0" w:color="auto"/>
        <w:right w:val="none" w:sz="0" w:space="0" w:color="auto"/>
      </w:divBdr>
    </w:div>
    <w:div w:id="395517468">
      <w:bodyDiv w:val="1"/>
      <w:marLeft w:val="0"/>
      <w:marRight w:val="0"/>
      <w:marTop w:val="0"/>
      <w:marBottom w:val="0"/>
      <w:divBdr>
        <w:top w:val="none" w:sz="0" w:space="0" w:color="auto"/>
        <w:left w:val="none" w:sz="0" w:space="0" w:color="auto"/>
        <w:bottom w:val="none" w:sz="0" w:space="0" w:color="auto"/>
        <w:right w:val="none" w:sz="0" w:space="0" w:color="auto"/>
      </w:divBdr>
    </w:div>
    <w:div w:id="522788613">
      <w:bodyDiv w:val="1"/>
      <w:marLeft w:val="0"/>
      <w:marRight w:val="0"/>
      <w:marTop w:val="0"/>
      <w:marBottom w:val="0"/>
      <w:divBdr>
        <w:top w:val="none" w:sz="0" w:space="0" w:color="auto"/>
        <w:left w:val="none" w:sz="0" w:space="0" w:color="auto"/>
        <w:bottom w:val="none" w:sz="0" w:space="0" w:color="auto"/>
        <w:right w:val="none" w:sz="0" w:space="0" w:color="auto"/>
      </w:divBdr>
    </w:div>
    <w:div w:id="545798429">
      <w:bodyDiv w:val="1"/>
      <w:marLeft w:val="0"/>
      <w:marRight w:val="0"/>
      <w:marTop w:val="0"/>
      <w:marBottom w:val="0"/>
      <w:divBdr>
        <w:top w:val="none" w:sz="0" w:space="0" w:color="auto"/>
        <w:left w:val="none" w:sz="0" w:space="0" w:color="auto"/>
        <w:bottom w:val="none" w:sz="0" w:space="0" w:color="auto"/>
        <w:right w:val="none" w:sz="0" w:space="0" w:color="auto"/>
      </w:divBdr>
    </w:div>
    <w:div w:id="570772000">
      <w:bodyDiv w:val="1"/>
      <w:marLeft w:val="0"/>
      <w:marRight w:val="0"/>
      <w:marTop w:val="0"/>
      <w:marBottom w:val="0"/>
      <w:divBdr>
        <w:top w:val="none" w:sz="0" w:space="0" w:color="auto"/>
        <w:left w:val="none" w:sz="0" w:space="0" w:color="auto"/>
        <w:bottom w:val="none" w:sz="0" w:space="0" w:color="auto"/>
        <w:right w:val="none" w:sz="0" w:space="0" w:color="auto"/>
      </w:divBdr>
    </w:div>
    <w:div w:id="575286715">
      <w:bodyDiv w:val="1"/>
      <w:marLeft w:val="0"/>
      <w:marRight w:val="0"/>
      <w:marTop w:val="0"/>
      <w:marBottom w:val="0"/>
      <w:divBdr>
        <w:top w:val="none" w:sz="0" w:space="0" w:color="auto"/>
        <w:left w:val="none" w:sz="0" w:space="0" w:color="auto"/>
        <w:bottom w:val="none" w:sz="0" w:space="0" w:color="auto"/>
        <w:right w:val="none" w:sz="0" w:space="0" w:color="auto"/>
      </w:divBdr>
    </w:div>
    <w:div w:id="623081352">
      <w:bodyDiv w:val="1"/>
      <w:marLeft w:val="0"/>
      <w:marRight w:val="0"/>
      <w:marTop w:val="0"/>
      <w:marBottom w:val="0"/>
      <w:divBdr>
        <w:top w:val="none" w:sz="0" w:space="0" w:color="auto"/>
        <w:left w:val="none" w:sz="0" w:space="0" w:color="auto"/>
        <w:bottom w:val="none" w:sz="0" w:space="0" w:color="auto"/>
        <w:right w:val="none" w:sz="0" w:space="0" w:color="auto"/>
      </w:divBdr>
    </w:div>
    <w:div w:id="665935163">
      <w:bodyDiv w:val="1"/>
      <w:marLeft w:val="0"/>
      <w:marRight w:val="0"/>
      <w:marTop w:val="0"/>
      <w:marBottom w:val="0"/>
      <w:divBdr>
        <w:top w:val="none" w:sz="0" w:space="0" w:color="auto"/>
        <w:left w:val="none" w:sz="0" w:space="0" w:color="auto"/>
        <w:bottom w:val="none" w:sz="0" w:space="0" w:color="auto"/>
        <w:right w:val="none" w:sz="0" w:space="0" w:color="auto"/>
      </w:divBdr>
    </w:div>
    <w:div w:id="874999546">
      <w:bodyDiv w:val="1"/>
      <w:marLeft w:val="0"/>
      <w:marRight w:val="0"/>
      <w:marTop w:val="0"/>
      <w:marBottom w:val="0"/>
      <w:divBdr>
        <w:top w:val="none" w:sz="0" w:space="0" w:color="auto"/>
        <w:left w:val="none" w:sz="0" w:space="0" w:color="auto"/>
        <w:bottom w:val="none" w:sz="0" w:space="0" w:color="auto"/>
        <w:right w:val="none" w:sz="0" w:space="0" w:color="auto"/>
      </w:divBdr>
    </w:div>
    <w:div w:id="1015955739">
      <w:bodyDiv w:val="1"/>
      <w:marLeft w:val="0"/>
      <w:marRight w:val="0"/>
      <w:marTop w:val="0"/>
      <w:marBottom w:val="0"/>
      <w:divBdr>
        <w:top w:val="none" w:sz="0" w:space="0" w:color="auto"/>
        <w:left w:val="none" w:sz="0" w:space="0" w:color="auto"/>
        <w:bottom w:val="none" w:sz="0" w:space="0" w:color="auto"/>
        <w:right w:val="none" w:sz="0" w:space="0" w:color="auto"/>
      </w:divBdr>
    </w:div>
    <w:div w:id="1065569638">
      <w:bodyDiv w:val="1"/>
      <w:marLeft w:val="0"/>
      <w:marRight w:val="0"/>
      <w:marTop w:val="0"/>
      <w:marBottom w:val="0"/>
      <w:divBdr>
        <w:top w:val="none" w:sz="0" w:space="0" w:color="auto"/>
        <w:left w:val="none" w:sz="0" w:space="0" w:color="auto"/>
        <w:bottom w:val="none" w:sz="0" w:space="0" w:color="auto"/>
        <w:right w:val="none" w:sz="0" w:space="0" w:color="auto"/>
      </w:divBdr>
    </w:div>
    <w:div w:id="1105149096">
      <w:bodyDiv w:val="1"/>
      <w:marLeft w:val="0"/>
      <w:marRight w:val="0"/>
      <w:marTop w:val="0"/>
      <w:marBottom w:val="0"/>
      <w:divBdr>
        <w:top w:val="none" w:sz="0" w:space="0" w:color="auto"/>
        <w:left w:val="none" w:sz="0" w:space="0" w:color="auto"/>
        <w:bottom w:val="none" w:sz="0" w:space="0" w:color="auto"/>
        <w:right w:val="none" w:sz="0" w:space="0" w:color="auto"/>
      </w:divBdr>
    </w:div>
    <w:div w:id="1313094342">
      <w:bodyDiv w:val="1"/>
      <w:marLeft w:val="0"/>
      <w:marRight w:val="0"/>
      <w:marTop w:val="0"/>
      <w:marBottom w:val="0"/>
      <w:divBdr>
        <w:top w:val="none" w:sz="0" w:space="0" w:color="auto"/>
        <w:left w:val="none" w:sz="0" w:space="0" w:color="auto"/>
        <w:bottom w:val="none" w:sz="0" w:space="0" w:color="auto"/>
        <w:right w:val="none" w:sz="0" w:space="0" w:color="auto"/>
      </w:divBdr>
    </w:div>
    <w:div w:id="1322662001">
      <w:bodyDiv w:val="1"/>
      <w:marLeft w:val="0"/>
      <w:marRight w:val="0"/>
      <w:marTop w:val="0"/>
      <w:marBottom w:val="0"/>
      <w:divBdr>
        <w:top w:val="none" w:sz="0" w:space="0" w:color="auto"/>
        <w:left w:val="none" w:sz="0" w:space="0" w:color="auto"/>
        <w:bottom w:val="none" w:sz="0" w:space="0" w:color="auto"/>
        <w:right w:val="none" w:sz="0" w:space="0" w:color="auto"/>
      </w:divBdr>
    </w:div>
    <w:div w:id="1355233073">
      <w:bodyDiv w:val="1"/>
      <w:marLeft w:val="0"/>
      <w:marRight w:val="0"/>
      <w:marTop w:val="0"/>
      <w:marBottom w:val="0"/>
      <w:divBdr>
        <w:top w:val="none" w:sz="0" w:space="0" w:color="auto"/>
        <w:left w:val="none" w:sz="0" w:space="0" w:color="auto"/>
        <w:bottom w:val="none" w:sz="0" w:space="0" w:color="auto"/>
        <w:right w:val="none" w:sz="0" w:space="0" w:color="auto"/>
      </w:divBdr>
    </w:div>
    <w:div w:id="1455059655">
      <w:bodyDiv w:val="1"/>
      <w:marLeft w:val="0"/>
      <w:marRight w:val="0"/>
      <w:marTop w:val="0"/>
      <w:marBottom w:val="0"/>
      <w:divBdr>
        <w:top w:val="none" w:sz="0" w:space="0" w:color="auto"/>
        <w:left w:val="none" w:sz="0" w:space="0" w:color="auto"/>
        <w:bottom w:val="none" w:sz="0" w:space="0" w:color="auto"/>
        <w:right w:val="none" w:sz="0" w:space="0" w:color="auto"/>
      </w:divBdr>
    </w:div>
    <w:div w:id="1520000481">
      <w:bodyDiv w:val="1"/>
      <w:marLeft w:val="0"/>
      <w:marRight w:val="0"/>
      <w:marTop w:val="0"/>
      <w:marBottom w:val="0"/>
      <w:divBdr>
        <w:top w:val="none" w:sz="0" w:space="0" w:color="auto"/>
        <w:left w:val="none" w:sz="0" w:space="0" w:color="auto"/>
        <w:bottom w:val="none" w:sz="0" w:space="0" w:color="auto"/>
        <w:right w:val="none" w:sz="0" w:space="0" w:color="auto"/>
      </w:divBdr>
    </w:div>
    <w:div w:id="1527594266">
      <w:bodyDiv w:val="1"/>
      <w:marLeft w:val="0"/>
      <w:marRight w:val="0"/>
      <w:marTop w:val="0"/>
      <w:marBottom w:val="0"/>
      <w:divBdr>
        <w:top w:val="none" w:sz="0" w:space="0" w:color="auto"/>
        <w:left w:val="none" w:sz="0" w:space="0" w:color="auto"/>
        <w:bottom w:val="none" w:sz="0" w:space="0" w:color="auto"/>
        <w:right w:val="none" w:sz="0" w:space="0" w:color="auto"/>
      </w:divBdr>
    </w:div>
    <w:div w:id="1646351945">
      <w:bodyDiv w:val="1"/>
      <w:marLeft w:val="0"/>
      <w:marRight w:val="0"/>
      <w:marTop w:val="0"/>
      <w:marBottom w:val="0"/>
      <w:divBdr>
        <w:top w:val="none" w:sz="0" w:space="0" w:color="auto"/>
        <w:left w:val="none" w:sz="0" w:space="0" w:color="auto"/>
        <w:bottom w:val="none" w:sz="0" w:space="0" w:color="auto"/>
        <w:right w:val="none" w:sz="0" w:space="0" w:color="auto"/>
      </w:divBdr>
    </w:div>
    <w:div w:id="1732923225">
      <w:bodyDiv w:val="1"/>
      <w:marLeft w:val="0"/>
      <w:marRight w:val="0"/>
      <w:marTop w:val="0"/>
      <w:marBottom w:val="0"/>
      <w:divBdr>
        <w:top w:val="none" w:sz="0" w:space="0" w:color="auto"/>
        <w:left w:val="none" w:sz="0" w:space="0" w:color="auto"/>
        <w:bottom w:val="none" w:sz="0" w:space="0" w:color="auto"/>
        <w:right w:val="none" w:sz="0" w:space="0" w:color="auto"/>
      </w:divBdr>
    </w:div>
    <w:div w:id="1868713636">
      <w:bodyDiv w:val="1"/>
      <w:marLeft w:val="0"/>
      <w:marRight w:val="0"/>
      <w:marTop w:val="0"/>
      <w:marBottom w:val="0"/>
      <w:divBdr>
        <w:top w:val="none" w:sz="0" w:space="0" w:color="auto"/>
        <w:left w:val="none" w:sz="0" w:space="0" w:color="auto"/>
        <w:bottom w:val="none" w:sz="0" w:space="0" w:color="auto"/>
        <w:right w:val="none" w:sz="0" w:space="0" w:color="auto"/>
      </w:divBdr>
    </w:div>
    <w:div w:id="1900550876">
      <w:bodyDiv w:val="1"/>
      <w:marLeft w:val="0"/>
      <w:marRight w:val="0"/>
      <w:marTop w:val="0"/>
      <w:marBottom w:val="0"/>
      <w:divBdr>
        <w:top w:val="none" w:sz="0" w:space="0" w:color="auto"/>
        <w:left w:val="none" w:sz="0" w:space="0" w:color="auto"/>
        <w:bottom w:val="none" w:sz="0" w:space="0" w:color="auto"/>
        <w:right w:val="none" w:sz="0" w:space="0" w:color="auto"/>
      </w:divBdr>
    </w:div>
    <w:div w:id="1904219491">
      <w:bodyDiv w:val="1"/>
      <w:marLeft w:val="0"/>
      <w:marRight w:val="0"/>
      <w:marTop w:val="0"/>
      <w:marBottom w:val="0"/>
      <w:divBdr>
        <w:top w:val="none" w:sz="0" w:space="0" w:color="auto"/>
        <w:left w:val="none" w:sz="0" w:space="0" w:color="auto"/>
        <w:bottom w:val="none" w:sz="0" w:space="0" w:color="auto"/>
        <w:right w:val="none" w:sz="0" w:space="0" w:color="auto"/>
      </w:divBdr>
    </w:div>
    <w:div w:id="1987124347">
      <w:bodyDiv w:val="1"/>
      <w:marLeft w:val="0"/>
      <w:marRight w:val="0"/>
      <w:marTop w:val="0"/>
      <w:marBottom w:val="0"/>
      <w:divBdr>
        <w:top w:val="none" w:sz="0" w:space="0" w:color="auto"/>
        <w:left w:val="none" w:sz="0" w:space="0" w:color="auto"/>
        <w:bottom w:val="none" w:sz="0" w:space="0" w:color="auto"/>
        <w:right w:val="none" w:sz="0" w:space="0" w:color="auto"/>
      </w:divBdr>
    </w:div>
    <w:div w:id="20889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ce.it/search/search.aspx?src=x90s7L/OLU%2bSkS2kRPMFkg==&amp;docId=41183&amp;hl=efficienza0&amp;id=22" TargetMode="External"/><Relationship Id="rId13" Type="http://schemas.openxmlformats.org/officeDocument/2006/relationships/hyperlink" Target="http://www.ance.it/search/search.aspx?src=x90s7L/OLU%2bSkS2kRPMFkg==&amp;docId=41183&amp;hl=efficienza0&amp;id=2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findustria.umbria.it/wp-content/uploads/2020/08/Decreto-legislativo-n.73-2020.pdf" TargetMode="External"/><Relationship Id="rId12" Type="http://schemas.openxmlformats.org/officeDocument/2006/relationships/hyperlink" Target="http://www.ance.it/search/search.aspx?src=x90s7L/OLU%2bSkS2kRPMFkg==&amp;docId=41183&amp;hl=efficienza0&amp;id=2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ce.it/search/search.aspx?src=x90s7L/OLU%2bSkS2kRPMFkg==&amp;docId=41183&amp;hl=efficienza0&amp;id=22" TargetMode="External"/><Relationship Id="rId5" Type="http://schemas.openxmlformats.org/officeDocument/2006/relationships/footnotes" Target="footnotes.xml"/><Relationship Id="rId15" Type="http://schemas.openxmlformats.org/officeDocument/2006/relationships/hyperlink" Target="file:///\\SW12ADC02\archivi\010_CONFINDUSTRIA%20UMBRIA\Notiziario\2020\EDILIZIA\edilizia@confindustria.terni.it" TargetMode="External"/><Relationship Id="rId10" Type="http://schemas.openxmlformats.org/officeDocument/2006/relationships/hyperlink" Target="http://www.ance.it/search/search.aspx?src=x90s7L/OLU%2bSkS2kRPMFkg==&amp;docId=41183&amp;hl=efficienza0&amp;id=2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nce.it/search/search.aspx?src=x90s7L/OLU%2bSkS2kRPMFkg==&amp;docId=41183&amp;hl=efficienza0&amp;id=22" TargetMode="External"/><Relationship Id="rId14" Type="http://schemas.openxmlformats.org/officeDocument/2006/relationships/hyperlink" Target="file:///\\SW12ADC02\archivi\010_CONFINDUSTRIA%20UMBRIA\Notiziario\2020\EDILIZIA\info@anceumbria.it%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500_Software\Procedure_associazione\MODELLI\MODELLI\Confindustria%20Umbria\NUOVA%20CARTA%20INTESTATA%202018_REV.%20SETTEMBRE%202018\Carta%20intestata%20Confindustria%20Umbria_Il%20Direttore%20Gener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Confindustria Umbria_Il Direttore Generale.dotx</Template>
  <TotalTime>15</TotalTime>
  <Pages>4</Pages>
  <Words>2077</Words>
  <Characters>11843</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Associazione Industriali</vt:lpstr>
    </vt:vector>
  </TitlesOfParts>
  <Company>Assindustria</Company>
  <LinksUpToDate>false</LinksUpToDate>
  <CharactersWithSpaces>13893</CharactersWithSpaces>
  <SharedDoc>false</SharedDoc>
  <HLinks>
    <vt:vector size="12" baseType="variant">
      <vt:variant>
        <vt:i4>7667784</vt:i4>
      </vt:variant>
      <vt:variant>
        <vt:i4>3</vt:i4>
      </vt:variant>
      <vt:variant>
        <vt:i4>0</vt:i4>
      </vt:variant>
      <vt:variant>
        <vt:i4>5</vt:i4>
      </vt:variant>
      <vt:variant>
        <vt:lpwstr>edilizia@confindustria.terni.it</vt:lpwstr>
      </vt:variant>
      <vt:variant>
        <vt:lpwstr/>
      </vt:variant>
      <vt:variant>
        <vt:i4>2555987</vt:i4>
      </vt:variant>
      <vt:variant>
        <vt:i4>0</vt:i4>
      </vt:variant>
      <vt:variant>
        <vt:i4>0</vt:i4>
      </vt:variant>
      <vt:variant>
        <vt:i4>5</vt:i4>
      </vt:variant>
      <vt:variant>
        <vt:lpwstr>info@anceumbria.it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Industriali</dc:title>
  <dc:subject/>
  <dc:creator>Cristina Malfagia</dc:creator>
  <cp:keywords/>
  <cp:lastModifiedBy>Cristina Malfagia</cp:lastModifiedBy>
  <cp:revision>10</cp:revision>
  <cp:lastPrinted>2019-02-27T17:41:00Z</cp:lastPrinted>
  <dcterms:created xsi:type="dcterms:W3CDTF">2020-08-17T07:09:00Z</dcterms:created>
  <dcterms:modified xsi:type="dcterms:W3CDTF">2020-08-17T14:28:00Z</dcterms:modified>
</cp:coreProperties>
</file>