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86500" w14:textId="3A760A20" w:rsidR="00CC1909" w:rsidRDefault="00CF23B3" w:rsidP="00750739">
      <w:pPr>
        <w:shd w:val="clear" w:color="auto" w:fill="FFFFFF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pict w14:anchorId="036903AB">
          <v:shape id="Segno di sottrazione 5" o:spid="_x0000_s1026" style="position:absolute;left:0;text-align:left;margin-left:-73.75pt;margin-top:-24pt;width:599.25pt;height:3.6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104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" path="m1008768,17483r5592939,l6601707,28236r-5592939,l1008768,17483xe" fillcolor="#205394" strokecolor="#385d8a" strokeweight="1pt">
            <v:path arrowok="t" o:connecttype="custom" o:connectlocs="1008768,17483;6601707,17483;6601707,28236;1008768,28236;1008768,17483" o:connectangles="0,0,0,0,0"/>
          </v:shape>
        </w:pict>
      </w:r>
      <w:r w:rsidR="00145628" w:rsidRPr="00145628">
        <w:rPr>
          <w:rFonts w:ascii="Calibri" w:hAnsi="Calibri" w:cs="Calibri"/>
          <w:b/>
          <w:bCs/>
          <w:sz w:val="22"/>
          <w:szCs w:val="22"/>
        </w:rPr>
        <w:t>DL Rilancio. Incremento anticipazione contrattuale: chiarimenti del Ministero Infrastrutture</w:t>
      </w:r>
    </w:p>
    <w:p w14:paraId="5D6F43B7" w14:textId="1085B85F" w:rsidR="008B795E" w:rsidRDefault="008B795E" w:rsidP="00750739">
      <w:pPr>
        <w:shd w:val="clear" w:color="auto" w:fill="FFFFFF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4FED5C5" w14:textId="0615B9F5" w:rsidR="008B795E" w:rsidRPr="008B795E" w:rsidRDefault="008B795E" w:rsidP="00750739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8B795E">
        <w:rPr>
          <w:rFonts w:ascii="Calibri" w:hAnsi="Calibri" w:cs="Calibri"/>
          <w:sz w:val="22"/>
          <w:szCs w:val="22"/>
        </w:rPr>
        <w:t xml:space="preserve">Indicazioni </w:t>
      </w:r>
      <w:r>
        <w:rPr>
          <w:rFonts w:ascii="Calibri" w:hAnsi="Calibri" w:cs="Calibri"/>
          <w:sz w:val="22"/>
          <w:szCs w:val="22"/>
        </w:rPr>
        <w:t>sull’applicazione dell’art. 207 del Decreto Rilancio</w:t>
      </w:r>
    </w:p>
    <w:p w14:paraId="37E46176" w14:textId="1ECB391F" w:rsidR="00750739" w:rsidRPr="00462996" w:rsidRDefault="00750739" w:rsidP="00750739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</w:p>
    <w:p w14:paraId="617F1681" w14:textId="75CDD6FC" w:rsidR="00145628" w:rsidRPr="00462996" w:rsidRDefault="00145628" w:rsidP="00145628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462996">
        <w:rPr>
          <w:rFonts w:ascii="Calibri" w:hAnsi="Calibri" w:cs="Calibri"/>
          <w:sz w:val="22"/>
          <w:szCs w:val="22"/>
        </w:rPr>
        <w:t>In risposta ad una serie di quesiti interpretativi, sollevati anche da ANCE, il Ministero delle Infrastrutture e dei Trasporti ha emanato la </w:t>
      </w:r>
      <w:r w:rsidRPr="00462996">
        <w:rPr>
          <w:rFonts w:ascii="Calibri" w:hAnsi="Calibri" w:cs="Calibri"/>
          <w:b/>
          <w:bCs/>
          <w:sz w:val="22"/>
          <w:szCs w:val="22"/>
        </w:rPr>
        <w:t>circolare n. 112 dell’11 agosto scorso</w:t>
      </w:r>
      <w:r w:rsidRPr="00462996">
        <w:rPr>
          <w:rFonts w:ascii="Calibri" w:hAnsi="Calibri" w:cs="Calibri"/>
          <w:sz w:val="22"/>
          <w:szCs w:val="22"/>
        </w:rPr>
        <w:t>, con la quale ha chiarito la</w:t>
      </w:r>
      <w:r w:rsidRPr="00462996">
        <w:rPr>
          <w:rFonts w:ascii="Calibri" w:hAnsi="Calibri" w:cs="Calibri"/>
          <w:b/>
          <w:bCs/>
          <w:sz w:val="22"/>
          <w:szCs w:val="22"/>
        </w:rPr>
        <w:t> portata applicativa dell'articolo 207 del Decreto Legge 19 maggio 2020, n. 34 (convertito in legge 17 luglio 2020, n. 77), cd “Decreto Rilancio”</w:t>
      </w:r>
      <w:r w:rsidRPr="00462996">
        <w:rPr>
          <w:rFonts w:ascii="Calibri" w:hAnsi="Calibri" w:cs="Calibri"/>
          <w:sz w:val="22"/>
          <w:szCs w:val="22"/>
        </w:rPr>
        <w:t> (che contiene</w:t>
      </w:r>
      <w:r w:rsidRPr="00462996">
        <w:rPr>
          <w:rFonts w:ascii="Calibri" w:hAnsi="Calibri" w:cs="Calibri"/>
          <w:sz w:val="22"/>
          <w:szCs w:val="22"/>
          <w:shd w:val="clear" w:color="auto" w:fill="FFFFFF"/>
        </w:rPr>
        <w:t> “</w:t>
      </w:r>
      <w:r w:rsidRPr="00462996">
        <w:rPr>
          <w:rFonts w:ascii="Calibri" w:hAnsi="Calibri" w:cs="Calibri"/>
          <w:i/>
          <w:iCs/>
          <w:sz w:val="22"/>
          <w:szCs w:val="22"/>
        </w:rPr>
        <w:t>Misure urgenti in materia di salute, sostegno al lavoro e all'economia, nonché di politiche sociali connesse all'emergenza epidemiologica da COVID-19</w:t>
      </w:r>
      <w:r w:rsidRPr="00462996">
        <w:rPr>
          <w:rFonts w:ascii="Calibri" w:hAnsi="Calibri" w:cs="Calibri"/>
          <w:sz w:val="22"/>
          <w:szCs w:val="22"/>
        </w:rPr>
        <w:t>”).</w:t>
      </w:r>
    </w:p>
    <w:p w14:paraId="638F3B03" w14:textId="77777777" w:rsidR="00145628" w:rsidRPr="00462996" w:rsidRDefault="00145628" w:rsidP="00145628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462996">
        <w:rPr>
          <w:rFonts w:ascii="Calibri" w:hAnsi="Calibri" w:cs="Calibri"/>
          <w:sz w:val="22"/>
          <w:szCs w:val="22"/>
        </w:rPr>
        <w:t> </w:t>
      </w:r>
    </w:p>
    <w:p w14:paraId="08D7CE5D" w14:textId="0187C023" w:rsidR="00145628" w:rsidRPr="00462996" w:rsidRDefault="00145628" w:rsidP="00145628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462996">
        <w:rPr>
          <w:rFonts w:ascii="Calibri" w:hAnsi="Calibri" w:cs="Calibri"/>
          <w:sz w:val="22"/>
          <w:szCs w:val="22"/>
        </w:rPr>
        <w:t>La norma in esame ha riconosciuto la possibilità di </w:t>
      </w:r>
      <w:r w:rsidRPr="00462996">
        <w:rPr>
          <w:rFonts w:ascii="Calibri" w:hAnsi="Calibri" w:cs="Calibri"/>
          <w:b/>
          <w:bCs/>
          <w:sz w:val="22"/>
          <w:szCs w:val="22"/>
        </w:rPr>
        <w:t>incrementare l’anticipazione del corrispettivo di appalto</w:t>
      </w:r>
      <w:r w:rsidRPr="00462996">
        <w:rPr>
          <w:rFonts w:ascii="Calibri" w:hAnsi="Calibri" w:cs="Calibri"/>
          <w:sz w:val="22"/>
          <w:szCs w:val="22"/>
        </w:rPr>
        <w:t>, di cui all’art. 35, comma 18, del Codice dei Contratti (d.lgs. 50/2016), </w:t>
      </w:r>
      <w:r w:rsidRPr="00462996">
        <w:rPr>
          <w:rFonts w:ascii="Calibri" w:hAnsi="Calibri" w:cs="Calibri"/>
          <w:b/>
          <w:bCs/>
          <w:sz w:val="22"/>
          <w:szCs w:val="22"/>
        </w:rPr>
        <w:t>fino ad un importo massimo non superiore al 30% del prezzo</w:t>
      </w:r>
      <w:r w:rsidRPr="00462996">
        <w:rPr>
          <w:rFonts w:ascii="Calibri" w:hAnsi="Calibri" w:cs="Calibri"/>
          <w:sz w:val="22"/>
          <w:szCs w:val="22"/>
        </w:rPr>
        <w:t>, nei limiti delle risorse annuali stanziate per il singolo intervento a disposizione della stazione appaltante.</w:t>
      </w:r>
    </w:p>
    <w:p w14:paraId="5A148B51" w14:textId="77777777" w:rsidR="00145628" w:rsidRPr="00462996" w:rsidRDefault="00145628" w:rsidP="00145628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462996">
        <w:rPr>
          <w:rFonts w:ascii="Calibri" w:hAnsi="Calibri" w:cs="Calibri"/>
          <w:sz w:val="22"/>
          <w:szCs w:val="22"/>
        </w:rPr>
        <w:t> </w:t>
      </w:r>
    </w:p>
    <w:p w14:paraId="613191D8" w14:textId="77777777" w:rsidR="00145628" w:rsidRPr="00462996" w:rsidRDefault="00145628" w:rsidP="00145628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462996">
        <w:rPr>
          <w:rFonts w:ascii="Calibri" w:hAnsi="Calibri" w:cs="Calibri"/>
          <w:sz w:val="22"/>
          <w:szCs w:val="22"/>
        </w:rPr>
        <w:t>Più in particolare, ai sensi del primo comma, la disposizione riguarda:</w:t>
      </w:r>
    </w:p>
    <w:p w14:paraId="45B4E921" w14:textId="77777777" w:rsidR="00145628" w:rsidRPr="00462996" w:rsidRDefault="00145628" w:rsidP="00145628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</w:p>
    <w:p w14:paraId="486072C6" w14:textId="77777777" w:rsidR="00145628" w:rsidRPr="00462996" w:rsidRDefault="00145628" w:rsidP="00145628">
      <w:pPr>
        <w:pStyle w:val="Paragrafoelenco"/>
        <w:numPr>
          <w:ilvl w:val="0"/>
          <w:numId w:val="21"/>
        </w:numPr>
        <w:shd w:val="clear" w:color="auto" w:fill="FFFFFF"/>
        <w:spacing w:after="200" w:line="240" w:lineRule="auto"/>
        <w:jc w:val="both"/>
        <w:rPr>
          <w:rFonts w:eastAsia="Times New Roman" w:cs="Calibri"/>
          <w:lang w:eastAsia="it-IT"/>
        </w:rPr>
      </w:pPr>
      <w:r w:rsidRPr="00462996">
        <w:rPr>
          <w:rFonts w:eastAsia="Times New Roman" w:cs="Calibri"/>
          <w:lang w:eastAsia="it-IT"/>
        </w:rPr>
        <w:t>le procedure di appalto disciplinate dal d.lgs. 50/2016 già bandite/avviate alla data di entrata in vigore della norma (19 maggio 2020);</w:t>
      </w:r>
    </w:p>
    <w:p w14:paraId="37200353" w14:textId="2D17036F" w:rsidR="00145628" w:rsidRPr="00462996" w:rsidRDefault="00145628" w:rsidP="00145628">
      <w:pPr>
        <w:pStyle w:val="Paragrafoelenco"/>
        <w:numPr>
          <w:ilvl w:val="0"/>
          <w:numId w:val="21"/>
        </w:numPr>
        <w:shd w:val="clear" w:color="auto" w:fill="FFFFFF"/>
        <w:spacing w:after="200" w:line="240" w:lineRule="auto"/>
        <w:jc w:val="both"/>
        <w:rPr>
          <w:rFonts w:eastAsia="Times New Roman" w:cs="Calibri"/>
          <w:lang w:eastAsia="it-IT"/>
        </w:rPr>
      </w:pPr>
      <w:r w:rsidRPr="00462996">
        <w:rPr>
          <w:rFonts w:eastAsia="Times New Roman" w:cs="Calibri"/>
          <w:lang w:eastAsia="it-IT"/>
        </w:rPr>
        <w:t>in caso di contratti senza pubblicazione di bandi/avvisi, le procedure per cui alla medesima data siano già stati trasmessi gli inviti a presentare offerta, ma non siano ancora scaduti i relativi termini;</w:t>
      </w:r>
    </w:p>
    <w:p w14:paraId="622C687C" w14:textId="77777777" w:rsidR="00145628" w:rsidRPr="00462996" w:rsidRDefault="00145628" w:rsidP="00145628">
      <w:pPr>
        <w:pStyle w:val="Paragrafoelenco"/>
        <w:numPr>
          <w:ilvl w:val="0"/>
          <w:numId w:val="21"/>
        </w:numPr>
        <w:shd w:val="clear" w:color="auto" w:fill="FFFFFF"/>
        <w:spacing w:after="200" w:line="240" w:lineRule="auto"/>
        <w:jc w:val="both"/>
        <w:rPr>
          <w:rFonts w:eastAsia="Times New Roman" w:cs="Calibri"/>
          <w:lang w:eastAsia="it-IT"/>
        </w:rPr>
      </w:pPr>
      <w:r w:rsidRPr="00462996">
        <w:rPr>
          <w:rFonts w:eastAsia="Times New Roman" w:cs="Calibri"/>
          <w:lang w:eastAsia="it-IT"/>
        </w:rPr>
        <w:t>in ogni caso, le procedure di appalto avviate a decorrere da tale data e fino al 30 giugno 2021.</w:t>
      </w:r>
    </w:p>
    <w:p w14:paraId="5CB13503" w14:textId="6F5BEEC9" w:rsidR="00145628" w:rsidRPr="00462996" w:rsidRDefault="00145628" w:rsidP="00145628">
      <w:pPr>
        <w:shd w:val="clear" w:color="auto" w:fill="FFFFFF"/>
        <w:spacing w:after="200"/>
        <w:jc w:val="both"/>
        <w:rPr>
          <w:rFonts w:ascii="Calibri" w:hAnsi="Calibri" w:cs="Calibri"/>
          <w:sz w:val="22"/>
          <w:szCs w:val="22"/>
        </w:rPr>
      </w:pPr>
      <w:r w:rsidRPr="00462996">
        <w:rPr>
          <w:rFonts w:ascii="Calibri" w:hAnsi="Calibri" w:cs="Calibri"/>
          <w:sz w:val="22"/>
          <w:szCs w:val="22"/>
        </w:rPr>
        <w:t>Inoltre, ai sensi del secondo comma, tale possibilità è riconosciuta anche “</w:t>
      </w:r>
      <w:r w:rsidRPr="00462996">
        <w:rPr>
          <w:rFonts w:ascii="Calibri" w:hAnsi="Calibri" w:cs="Calibri"/>
          <w:i/>
          <w:iCs/>
          <w:sz w:val="22"/>
          <w:szCs w:val="22"/>
        </w:rPr>
        <w:t>al di fuori dai casi previsti dal comma 1</w:t>
      </w:r>
      <w:r w:rsidRPr="00462996">
        <w:rPr>
          <w:rFonts w:ascii="Calibri" w:hAnsi="Calibri" w:cs="Calibri"/>
          <w:sz w:val="22"/>
          <w:szCs w:val="22"/>
        </w:rPr>
        <w:t>”, in favore degli appaltatori:</w:t>
      </w:r>
    </w:p>
    <w:p w14:paraId="154B975F" w14:textId="66EB9363" w:rsidR="00145628" w:rsidRPr="00462996" w:rsidRDefault="00145628" w:rsidP="00145628">
      <w:pPr>
        <w:pStyle w:val="Paragrafoelenco"/>
        <w:numPr>
          <w:ilvl w:val="0"/>
          <w:numId w:val="22"/>
        </w:numPr>
        <w:shd w:val="clear" w:color="auto" w:fill="FFFFFF"/>
        <w:spacing w:after="200" w:line="240" w:lineRule="auto"/>
        <w:jc w:val="both"/>
        <w:rPr>
          <w:rFonts w:eastAsia="Times New Roman" w:cs="Calibri"/>
          <w:lang w:eastAsia="it-IT"/>
        </w:rPr>
      </w:pPr>
      <w:r w:rsidRPr="00462996">
        <w:rPr>
          <w:rFonts w:eastAsia="Times New Roman" w:cs="Calibri"/>
          <w:lang w:eastAsia="it-IT"/>
        </w:rPr>
        <w:t>che abbiano già usufruito di un’anticipazione contrattualmente prevista;</w:t>
      </w:r>
    </w:p>
    <w:p w14:paraId="0FFAE4D7" w14:textId="77777777" w:rsidR="00145628" w:rsidRPr="00462996" w:rsidRDefault="00145628" w:rsidP="00145628">
      <w:pPr>
        <w:pStyle w:val="Paragrafoelenco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eastAsia="Times New Roman" w:cs="Calibri"/>
          <w:lang w:eastAsia="it-IT"/>
        </w:rPr>
      </w:pPr>
      <w:r w:rsidRPr="00462996">
        <w:rPr>
          <w:rFonts w:eastAsia="Times New Roman" w:cs="Calibri"/>
          <w:lang w:eastAsia="it-IT"/>
        </w:rPr>
        <w:t>ovvero che abbiano dato inizio alla prestazione senza averne mai usufruito. </w:t>
      </w:r>
    </w:p>
    <w:p w14:paraId="2729D0F7" w14:textId="77777777" w:rsidR="00145628" w:rsidRPr="00462996" w:rsidRDefault="00145628" w:rsidP="00145628">
      <w:pPr>
        <w:pStyle w:val="Paragrafoelenco"/>
        <w:shd w:val="clear" w:color="auto" w:fill="FFFFFF"/>
        <w:spacing w:after="0" w:line="240" w:lineRule="auto"/>
        <w:jc w:val="both"/>
        <w:rPr>
          <w:rFonts w:eastAsia="Times New Roman" w:cs="Calibri"/>
          <w:lang w:eastAsia="it-IT"/>
        </w:rPr>
      </w:pPr>
      <w:r w:rsidRPr="00462996">
        <w:rPr>
          <w:rFonts w:eastAsia="Times New Roman" w:cs="Calibri"/>
          <w:lang w:eastAsia="it-IT"/>
        </w:rPr>
        <w:t> </w:t>
      </w:r>
    </w:p>
    <w:p w14:paraId="0A426ACD" w14:textId="77777777" w:rsidR="00145628" w:rsidRPr="00462996" w:rsidRDefault="00145628" w:rsidP="00145628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462996">
        <w:rPr>
          <w:rFonts w:ascii="Calibri" w:hAnsi="Calibri" w:cs="Calibri"/>
          <w:sz w:val="22"/>
          <w:szCs w:val="22"/>
        </w:rPr>
        <w:t>La determinazione dell’importo massimo di incremento attribuibile è effettuata dalla stazione appaltante, tenendo conto delle eventuali somme già versate all’appaltatore a titolo di anticipazione.</w:t>
      </w:r>
    </w:p>
    <w:p w14:paraId="3107F07F" w14:textId="77777777" w:rsidR="00145628" w:rsidRPr="00462996" w:rsidRDefault="00145628" w:rsidP="00145628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462996">
        <w:rPr>
          <w:rFonts w:ascii="Calibri" w:hAnsi="Calibri" w:cs="Calibri"/>
          <w:sz w:val="22"/>
          <w:szCs w:val="22"/>
        </w:rPr>
        <w:t> </w:t>
      </w:r>
    </w:p>
    <w:p w14:paraId="18A2108E" w14:textId="6CFFE02B" w:rsidR="00145628" w:rsidRPr="00462996" w:rsidRDefault="00145628" w:rsidP="00145628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462996">
        <w:rPr>
          <w:rFonts w:ascii="Calibri" w:hAnsi="Calibri" w:cs="Calibri"/>
          <w:sz w:val="22"/>
          <w:szCs w:val="22"/>
        </w:rPr>
        <w:t>Infine, la norma specifica che, ai fini del riconoscimento dell’anticipazione, si applicano le previsioni di cui al secondo, terzo, quarto e quinto periodo dell’articolo 35, comma 18, del Codice che ne subordinano l’erogazione alla costituzione di una specifica garanzia fideiussoria, bancaria o assicurativa.</w:t>
      </w:r>
    </w:p>
    <w:p w14:paraId="1C61D7F4" w14:textId="77777777" w:rsidR="00145628" w:rsidRPr="00462996" w:rsidRDefault="00145628" w:rsidP="00145628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462996">
        <w:rPr>
          <w:rFonts w:ascii="Calibri" w:hAnsi="Calibri" w:cs="Calibri"/>
          <w:sz w:val="22"/>
          <w:szCs w:val="22"/>
        </w:rPr>
        <w:t> </w:t>
      </w:r>
    </w:p>
    <w:p w14:paraId="70A6603D" w14:textId="77777777" w:rsidR="00145628" w:rsidRPr="00462996" w:rsidRDefault="00145628" w:rsidP="00145628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462996">
        <w:rPr>
          <w:rFonts w:ascii="Calibri" w:hAnsi="Calibri" w:cs="Calibri"/>
          <w:sz w:val="22"/>
          <w:szCs w:val="22"/>
        </w:rPr>
        <w:t>Premesso ciò, nel periodo immediatamente successivo all’entrata in vigore del Decreto, sono emerse talune criticità in sede di applicazione della norma, derivanti da una diffusa prassi volta a darne un'interpretazione restrittiva.</w:t>
      </w:r>
    </w:p>
    <w:p w14:paraId="39C6F1A2" w14:textId="77777777" w:rsidR="00145628" w:rsidRPr="00462996" w:rsidRDefault="00145628" w:rsidP="00145628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462996">
        <w:rPr>
          <w:rFonts w:ascii="Calibri" w:hAnsi="Calibri" w:cs="Calibri"/>
          <w:sz w:val="22"/>
          <w:szCs w:val="22"/>
        </w:rPr>
        <w:t> </w:t>
      </w:r>
    </w:p>
    <w:p w14:paraId="203095DE" w14:textId="77777777" w:rsidR="00145628" w:rsidRPr="00462996" w:rsidRDefault="00145628" w:rsidP="00145628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462996">
        <w:rPr>
          <w:rFonts w:ascii="Calibri" w:hAnsi="Calibri" w:cs="Calibri"/>
          <w:sz w:val="22"/>
          <w:szCs w:val="22"/>
        </w:rPr>
        <w:t>Tali problematiche sono state oggetto, pertanto, di una specifica segnalazione al MIT da parte dell'ANCE.</w:t>
      </w:r>
    </w:p>
    <w:p w14:paraId="02F21A1A" w14:textId="77777777" w:rsidR="00145628" w:rsidRPr="00462996" w:rsidRDefault="00145628" w:rsidP="00145628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462996">
        <w:rPr>
          <w:rFonts w:ascii="Calibri" w:hAnsi="Calibri" w:cs="Calibri"/>
          <w:sz w:val="22"/>
          <w:szCs w:val="22"/>
        </w:rPr>
        <w:t> </w:t>
      </w:r>
    </w:p>
    <w:p w14:paraId="1CE0109E" w14:textId="3126C6B1" w:rsidR="00145628" w:rsidRPr="00462996" w:rsidRDefault="00145628" w:rsidP="00145628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462996">
        <w:rPr>
          <w:rFonts w:ascii="Calibri" w:hAnsi="Calibri" w:cs="Calibri"/>
          <w:sz w:val="22"/>
          <w:szCs w:val="22"/>
        </w:rPr>
        <w:lastRenderedPageBreak/>
        <w:t>Nella circolare in esame è stata </w:t>
      </w:r>
      <w:r w:rsidRPr="00462996">
        <w:rPr>
          <w:rFonts w:ascii="Calibri" w:hAnsi="Calibri" w:cs="Calibri"/>
          <w:b/>
          <w:bCs/>
          <w:sz w:val="22"/>
          <w:szCs w:val="22"/>
        </w:rPr>
        <w:t>seguita l’interpretazione estensiva della portata della disposizione, in linea con quanto auspicato da ANCE.</w:t>
      </w:r>
    </w:p>
    <w:p w14:paraId="5AEA4794" w14:textId="77777777" w:rsidR="00145628" w:rsidRPr="00462996" w:rsidRDefault="00145628" w:rsidP="00145628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462996">
        <w:rPr>
          <w:rFonts w:ascii="Calibri" w:hAnsi="Calibri" w:cs="Calibri"/>
          <w:sz w:val="22"/>
          <w:szCs w:val="22"/>
        </w:rPr>
        <w:t> </w:t>
      </w:r>
    </w:p>
    <w:p w14:paraId="68C8E2DD" w14:textId="77777777" w:rsidR="00145628" w:rsidRPr="00462996" w:rsidRDefault="00145628" w:rsidP="00145628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462996">
        <w:rPr>
          <w:rFonts w:ascii="Calibri" w:hAnsi="Calibri" w:cs="Calibri"/>
          <w:sz w:val="22"/>
          <w:szCs w:val="22"/>
        </w:rPr>
        <w:t>In particolare, viene chiarito che la possibilità di incremento dell’anticipazione si applica:</w:t>
      </w:r>
    </w:p>
    <w:p w14:paraId="7DB419EA" w14:textId="77777777" w:rsidR="00145628" w:rsidRPr="00462996" w:rsidRDefault="00145628" w:rsidP="00145628">
      <w:pPr>
        <w:pStyle w:val="Paragrafoelenco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eastAsia="Times New Roman" w:cs="Calibri"/>
          <w:lang w:eastAsia="it-IT"/>
        </w:rPr>
      </w:pPr>
      <w:r w:rsidRPr="00462996">
        <w:rPr>
          <w:rFonts w:eastAsia="Times New Roman" w:cs="Calibri"/>
          <w:lang w:eastAsia="it-IT"/>
        </w:rPr>
        <w:t>a </w:t>
      </w:r>
      <w:r w:rsidRPr="00462996">
        <w:rPr>
          <w:rFonts w:eastAsia="Times New Roman" w:cs="Calibri"/>
          <w:b/>
          <w:bCs/>
          <w:lang w:eastAsia="it-IT"/>
        </w:rPr>
        <w:t>tutti i contratti in corso di esecuzione</w:t>
      </w:r>
      <w:r w:rsidRPr="00462996">
        <w:rPr>
          <w:rFonts w:eastAsia="Times New Roman" w:cs="Calibri"/>
          <w:lang w:eastAsia="it-IT"/>
        </w:rPr>
        <w:t> e, quindi, sia ai contratti derivanti da procedure disciplinate dal Codice n. 50/2016, </w:t>
      </w:r>
      <w:r w:rsidRPr="00462996">
        <w:rPr>
          <w:rFonts w:eastAsia="Times New Roman" w:cs="Calibri"/>
          <w:b/>
          <w:bCs/>
          <w:lang w:eastAsia="it-IT"/>
        </w:rPr>
        <w:t>sia ai contratti – ancor oggi pendenti – regolati dal codice previgente</w:t>
      </w:r>
      <w:r w:rsidRPr="00462996">
        <w:rPr>
          <w:rFonts w:eastAsia="Times New Roman" w:cs="Calibri"/>
          <w:lang w:eastAsia="it-IT"/>
        </w:rPr>
        <w:t>; tra questi ultimi vanno ricompresi </w:t>
      </w:r>
      <w:r w:rsidRPr="00462996">
        <w:rPr>
          <w:rFonts w:eastAsia="Times New Roman" w:cs="Calibri"/>
          <w:b/>
          <w:bCs/>
          <w:lang w:eastAsia="it-IT"/>
        </w:rPr>
        <w:t>anche quelli derivanti da gare bandite prima del 21 agosto 2013</w:t>
      </w:r>
      <w:r w:rsidRPr="00462996">
        <w:rPr>
          <w:rFonts w:eastAsia="Times New Roman" w:cs="Calibri"/>
          <w:lang w:eastAsia="it-IT"/>
        </w:rPr>
        <w:t>, in relazione alle quali, a causa della mancata previsione dell’istituto all’epoca della stipula, gli appaltatori non hanno ricevuto anticipazione; ciò, sulla base:</w:t>
      </w:r>
    </w:p>
    <w:p w14:paraId="015319DA" w14:textId="042E40E4" w:rsidR="00145628" w:rsidRPr="00462996" w:rsidRDefault="00145628" w:rsidP="00145628">
      <w:pPr>
        <w:pStyle w:val="Paragrafoelenco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eastAsia="Times New Roman" w:cs="Calibri"/>
          <w:lang w:eastAsia="it-IT"/>
        </w:rPr>
      </w:pPr>
      <w:r w:rsidRPr="00462996">
        <w:rPr>
          <w:rFonts w:eastAsia="Times New Roman" w:cs="Calibri"/>
          <w:lang w:eastAsia="it-IT"/>
        </w:rPr>
        <w:t>del </w:t>
      </w:r>
      <w:r w:rsidRPr="00462996">
        <w:rPr>
          <w:rFonts w:eastAsia="Times New Roman" w:cs="Calibri"/>
          <w:b/>
          <w:bCs/>
          <w:lang w:eastAsia="it-IT"/>
        </w:rPr>
        <w:t>dato testuale</w:t>
      </w:r>
      <w:r w:rsidRPr="00462996">
        <w:rPr>
          <w:rFonts w:eastAsia="Times New Roman" w:cs="Calibri"/>
          <w:lang w:eastAsia="it-IT"/>
        </w:rPr>
        <w:t>: il comma 2 dell’art. 207 estende la possibilità dell’incremento anche alle fattispecie non ricomprese nel comma 1, il quale fa riferimento “</w:t>
      </w:r>
      <w:r w:rsidRPr="00462996">
        <w:rPr>
          <w:rFonts w:eastAsia="Times New Roman" w:cs="Calibri"/>
          <w:i/>
          <w:iCs/>
          <w:lang w:eastAsia="it-IT"/>
        </w:rPr>
        <w:t>alle procedure disciplinate dal decreto legislativo 18 aprile 2016, n. 50</w:t>
      </w:r>
      <w:r w:rsidRPr="00462996">
        <w:rPr>
          <w:rFonts w:eastAsia="Times New Roman" w:cs="Calibri"/>
          <w:lang w:eastAsia="it-IT"/>
        </w:rPr>
        <w:t>”; inoltre – osserva il MIT – sempre il comma 2 estende specificamente a tali fattispecie, quasi integralmente (dal secondo al quinto periodo), l’art. 35, comma 18, del vigente Codice dei contratti pubblici, e ciò non avrebbe senso se l’incremento fosse applicabile ai soli contratti regolati dal d.lgs. n. 50/2016, poiché, in tal caso, l’art. 35 sarebbe applicabile automaticamente e in via integrale;</w:t>
      </w:r>
    </w:p>
    <w:p w14:paraId="6C136CC6" w14:textId="7D7C21AC" w:rsidR="00145628" w:rsidRPr="00462996" w:rsidRDefault="00145628" w:rsidP="00145628">
      <w:pPr>
        <w:pStyle w:val="Paragrafoelenco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eastAsia="Times New Roman" w:cs="Calibri"/>
          <w:lang w:eastAsia="it-IT"/>
        </w:rPr>
      </w:pPr>
      <w:r w:rsidRPr="00462996">
        <w:rPr>
          <w:rFonts w:eastAsia="Times New Roman" w:cs="Calibri"/>
          <w:lang w:eastAsia="it-IT"/>
        </w:rPr>
        <w:t>del </w:t>
      </w:r>
      <w:r w:rsidRPr="00462996">
        <w:rPr>
          <w:rFonts w:eastAsia="Times New Roman" w:cs="Calibri"/>
          <w:b/>
          <w:bCs/>
          <w:lang w:eastAsia="it-IT"/>
        </w:rPr>
        <w:t>dato teleologico</w:t>
      </w:r>
      <w:r w:rsidRPr="00462996">
        <w:rPr>
          <w:rFonts w:eastAsia="Times New Roman" w:cs="Calibri"/>
          <w:lang w:eastAsia="it-IT"/>
        </w:rPr>
        <w:t>, atteso che la </w:t>
      </w:r>
      <w:r w:rsidRPr="00462996">
        <w:rPr>
          <w:rFonts w:eastAsia="Times New Roman" w:cs="Calibri"/>
          <w:i/>
          <w:iCs/>
          <w:lang w:eastAsia="it-IT"/>
        </w:rPr>
        <w:t>ratio</w:t>
      </w:r>
      <w:r w:rsidRPr="00462996">
        <w:rPr>
          <w:rFonts w:eastAsia="Times New Roman" w:cs="Calibri"/>
          <w:lang w:eastAsia="it-IT"/>
        </w:rPr>
        <w:t> della previsione è quella di riconoscere liquidità aggiuntiva a tutte le imprese che abbiano in corso di esecuzione appalti pubblici e che siano state penalizzate dall’emergenza sanitaria;</w:t>
      </w:r>
    </w:p>
    <w:p w14:paraId="4040EB0E" w14:textId="77777777" w:rsidR="00145628" w:rsidRPr="00462996" w:rsidRDefault="00145628" w:rsidP="00145628">
      <w:pPr>
        <w:pStyle w:val="Paragrafoelenco"/>
        <w:shd w:val="clear" w:color="auto" w:fill="FFFFFF"/>
        <w:spacing w:after="0" w:line="240" w:lineRule="auto"/>
        <w:ind w:left="1485"/>
        <w:jc w:val="both"/>
        <w:rPr>
          <w:rFonts w:eastAsia="Times New Roman" w:cs="Calibri"/>
          <w:lang w:eastAsia="it-IT"/>
        </w:rPr>
      </w:pPr>
    </w:p>
    <w:p w14:paraId="15865886" w14:textId="77777777" w:rsidR="00145628" w:rsidRPr="00462996" w:rsidRDefault="00145628" w:rsidP="00145628">
      <w:pPr>
        <w:pStyle w:val="Paragrafoelenco"/>
        <w:numPr>
          <w:ilvl w:val="0"/>
          <w:numId w:val="23"/>
        </w:numPr>
        <w:shd w:val="clear" w:color="auto" w:fill="FFFFFF"/>
        <w:spacing w:after="100" w:line="240" w:lineRule="auto"/>
        <w:jc w:val="both"/>
        <w:rPr>
          <w:rFonts w:eastAsia="Times New Roman" w:cs="Calibri"/>
          <w:lang w:eastAsia="it-IT"/>
        </w:rPr>
      </w:pPr>
      <w:r w:rsidRPr="00462996">
        <w:rPr>
          <w:rFonts w:eastAsia="Times New Roman" w:cs="Calibri"/>
          <w:lang w:eastAsia="it-IT"/>
        </w:rPr>
        <w:t>a </w:t>
      </w:r>
      <w:r w:rsidRPr="00462996">
        <w:rPr>
          <w:rFonts w:eastAsia="Times New Roman" w:cs="Calibri"/>
          <w:b/>
          <w:bCs/>
          <w:lang w:eastAsia="it-IT"/>
        </w:rPr>
        <w:t>tutti i contratti di appalto di lavori pubblici, senza distinzioni in termini di importo </w:t>
      </w:r>
      <w:r w:rsidRPr="00462996">
        <w:rPr>
          <w:rFonts w:eastAsia="Times New Roman" w:cs="Calibri"/>
          <w:lang w:eastAsia="it-IT"/>
        </w:rPr>
        <w:t>(sia sopra che sotto soglia) </w:t>
      </w:r>
      <w:r w:rsidRPr="00462996">
        <w:rPr>
          <w:rFonts w:eastAsia="Times New Roman" w:cs="Calibri"/>
          <w:b/>
          <w:bCs/>
          <w:lang w:eastAsia="it-IT"/>
        </w:rPr>
        <w:t>o di settore</w:t>
      </w:r>
      <w:r w:rsidRPr="00462996">
        <w:rPr>
          <w:rFonts w:eastAsia="Times New Roman" w:cs="Calibri"/>
          <w:lang w:eastAsia="it-IT"/>
        </w:rPr>
        <w:t> (sia nei settori ordinari che speciali), dal momento che l’anticipazione del prezzo è un istituto </w:t>
      </w:r>
      <w:r w:rsidRPr="00462996">
        <w:rPr>
          <w:rFonts w:eastAsia="Times New Roman" w:cs="Calibri"/>
          <w:b/>
          <w:bCs/>
          <w:lang w:eastAsia="it-IT"/>
        </w:rPr>
        <w:t>avente portata generale</w:t>
      </w:r>
      <w:r w:rsidRPr="00462996">
        <w:rPr>
          <w:rFonts w:eastAsia="Times New Roman" w:cs="Calibri"/>
          <w:lang w:eastAsia="it-IT"/>
        </w:rPr>
        <w:t>, diretto a dare impulso all’iniziativa imprenditoriale nella delicata fase di avvio dei lavori; </w:t>
      </w:r>
    </w:p>
    <w:p w14:paraId="5DFEB763" w14:textId="77777777" w:rsidR="00145628" w:rsidRPr="00462996" w:rsidRDefault="00145628" w:rsidP="00145628">
      <w:pPr>
        <w:pStyle w:val="Paragrafoelenco"/>
        <w:shd w:val="clear" w:color="auto" w:fill="FFFFFF"/>
        <w:spacing w:after="100" w:line="240" w:lineRule="auto"/>
        <w:jc w:val="both"/>
        <w:rPr>
          <w:rFonts w:eastAsia="Times New Roman" w:cs="Calibri"/>
          <w:lang w:eastAsia="it-IT"/>
        </w:rPr>
      </w:pPr>
    </w:p>
    <w:p w14:paraId="0FCE3F56" w14:textId="033A8B46" w:rsidR="00145628" w:rsidRPr="00462996" w:rsidRDefault="00145628" w:rsidP="00145628">
      <w:pPr>
        <w:pStyle w:val="Paragrafoelenco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eastAsia="Times New Roman" w:cs="Calibri"/>
          <w:lang w:eastAsia="it-IT"/>
        </w:rPr>
      </w:pPr>
      <w:r w:rsidRPr="00462996">
        <w:rPr>
          <w:rFonts w:eastAsia="Times New Roman" w:cs="Calibri"/>
          <w:b/>
          <w:bCs/>
          <w:lang w:eastAsia="it-IT"/>
        </w:rPr>
        <w:t>senza la necessità della previsione di un capitolo di spesa </w:t>
      </w:r>
      <w:r w:rsidRPr="00462996">
        <w:rPr>
          <w:rFonts w:eastAsia="Times New Roman" w:cs="Calibri"/>
          <w:b/>
          <w:bCs/>
          <w:i/>
          <w:iCs/>
          <w:lang w:eastAsia="it-IT"/>
        </w:rPr>
        <w:t>ad</w:t>
      </w:r>
      <w:r w:rsidR="00226927" w:rsidRPr="00462996">
        <w:rPr>
          <w:rFonts w:eastAsia="Times New Roman" w:cs="Calibri"/>
          <w:b/>
          <w:bCs/>
          <w:i/>
          <w:iCs/>
          <w:lang w:eastAsia="it-IT"/>
        </w:rPr>
        <w:t xml:space="preserve"> </w:t>
      </w:r>
      <w:r w:rsidRPr="00462996">
        <w:rPr>
          <w:rFonts w:eastAsia="Times New Roman" w:cs="Calibri"/>
          <w:b/>
          <w:bCs/>
          <w:i/>
          <w:iCs/>
          <w:lang w:eastAsia="it-IT"/>
        </w:rPr>
        <w:t>hoc</w:t>
      </w:r>
      <w:r w:rsidRPr="00462996">
        <w:rPr>
          <w:rFonts w:eastAsia="Times New Roman" w:cs="Calibri"/>
          <w:lang w:eastAsia="it-IT"/>
        </w:rPr>
        <w:t> dedicato all’anticipazione del prezzo, essendo sufficiente che la S.A. </w:t>
      </w:r>
      <w:r w:rsidRPr="00462996">
        <w:rPr>
          <w:rFonts w:eastAsia="Times New Roman" w:cs="Calibri"/>
          <w:b/>
          <w:bCs/>
          <w:lang w:eastAsia="it-IT"/>
        </w:rPr>
        <w:t>disponga delle relative somme nell’ambito delle risorse annuali </w:t>
      </w:r>
      <w:r w:rsidRPr="00462996">
        <w:rPr>
          <w:rFonts w:eastAsia="Times New Roman" w:cs="Calibri"/>
          <w:lang w:eastAsia="it-IT"/>
        </w:rPr>
        <w:t>previste nel quadro economico dell’intervento, come – sostiene il Ministero – lascia intendere la formulazione letterale della norma.</w:t>
      </w:r>
    </w:p>
    <w:p w14:paraId="76608F12" w14:textId="77777777" w:rsidR="00145628" w:rsidRPr="00462996" w:rsidRDefault="00145628" w:rsidP="00145628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462996">
        <w:rPr>
          <w:rFonts w:ascii="Calibri" w:hAnsi="Calibri" w:cs="Calibri"/>
          <w:sz w:val="22"/>
          <w:szCs w:val="22"/>
        </w:rPr>
        <w:t> </w:t>
      </w:r>
    </w:p>
    <w:p w14:paraId="715D94A8" w14:textId="501160AF" w:rsidR="00145628" w:rsidRPr="00462996" w:rsidRDefault="00145628" w:rsidP="00145628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462996">
        <w:rPr>
          <w:rFonts w:ascii="Calibri" w:hAnsi="Calibri" w:cs="Calibri"/>
          <w:sz w:val="22"/>
          <w:szCs w:val="22"/>
        </w:rPr>
        <w:t>Infine, si evidenzia che la circolare è indirizzata “alle Stazioni appaltanti” ed è, dunque, applicabile in via generale alle gare bandite su tutto il territorio nazionale da qualsiasi Amministrazione o, comunque, da tutti i soggetti sottoposti agli obblighi di cui al d.lgs. n. 50/2016 e alla normativa previgente.</w:t>
      </w:r>
    </w:p>
    <w:p w14:paraId="2E1CD942" w14:textId="77777777" w:rsidR="00145628" w:rsidRPr="00462996" w:rsidRDefault="00145628" w:rsidP="00145628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462996">
        <w:rPr>
          <w:rFonts w:ascii="Calibri" w:hAnsi="Calibri" w:cs="Calibri"/>
          <w:sz w:val="22"/>
          <w:szCs w:val="22"/>
        </w:rPr>
        <w:t> </w:t>
      </w:r>
    </w:p>
    <w:p w14:paraId="23C785EE" w14:textId="50E1AC24" w:rsidR="00145628" w:rsidRPr="00462996" w:rsidRDefault="00145628" w:rsidP="00145628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462996">
        <w:rPr>
          <w:rFonts w:ascii="Calibri" w:hAnsi="Calibri" w:cs="Calibri"/>
          <w:b/>
          <w:bCs/>
          <w:sz w:val="22"/>
          <w:szCs w:val="22"/>
        </w:rPr>
        <w:t>In allegato</w:t>
      </w:r>
      <w:r w:rsidRPr="00462996">
        <w:rPr>
          <w:rFonts w:ascii="Calibri" w:hAnsi="Calibri" w:cs="Calibri"/>
          <w:sz w:val="22"/>
          <w:szCs w:val="22"/>
        </w:rPr>
        <w:t xml:space="preserve"> </w:t>
      </w:r>
      <w:r w:rsidR="00E80796" w:rsidRPr="00462996">
        <w:rPr>
          <w:rFonts w:ascii="Calibri" w:hAnsi="Calibri" w:cs="Calibri"/>
          <w:sz w:val="22"/>
          <w:szCs w:val="22"/>
        </w:rPr>
        <w:t xml:space="preserve">è disponibile </w:t>
      </w:r>
      <w:r w:rsidRPr="00462996">
        <w:rPr>
          <w:rFonts w:ascii="Calibri" w:hAnsi="Calibri" w:cs="Calibri"/>
          <w:sz w:val="22"/>
          <w:szCs w:val="22"/>
        </w:rPr>
        <w:t>il testo del provvedimento.</w:t>
      </w:r>
    </w:p>
    <w:p w14:paraId="3869C3D8" w14:textId="77777777" w:rsidR="00145628" w:rsidRPr="008177D8" w:rsidRDefault="00145628" w:rsidP="00145628">
      <w:pPr>
        <w:shd w:val="clear" w:color="auto" w:fill="FFFFFF"/>
        <w:jc w:val="both"/>
        <w:rPr>
          <w:rFonts w:cs="Calibri"/>
        </w:rPr>
      </w:pPr>
    </w:p>
    <w:p w14:paraId="4F7BB36C" w14:textId="6144C01A" w:rsidR="00750739" w:rsidRPr="00462996" w:rsidRDefault="00750739" w:rsidP="00750739">
      <w:pPr>
        <w:shd w:val="clear" w:color="auto" w:fill="FFFFFF"/>
        <w:jc w:val="both"/>
        <w:rPr>
          <w:rFonts w:ascii="Calibri" w:hAnsi="Calibri" w:cs="Calibri"/>
          <w:color w:val="5A5A5A"/>
          <w:sz w:val="22"/>
          <w:szCs w:val="22"/>
        </w:rPr>
      </w:pPr>
    </w:p>
    <w:p w14:paraId="258A92FE" w14:textId="77777777" w:rsidR="00417C79" w:rsidRPr="00462996" w:rsidRDefault="00417C79" w:rsidP="00750739">
      <w:pPr>
        <w:shd w:val="clear" w:color="auto" w:fill="FFFFFF"/>
        <w:jc w:val="both"/>
        <w:rPr>
          <w:rFonts w:ascii="Calibri" w:hAnsi="Calibri" w:cs="Calibri"/>
          <w:color w:val="5A5A5A"/>
          <w:sz w:val="22"/>
          <w:szCs w:val="22"/>
        </w:rPr>
      </w:pPr>
    </w:p>
    <w:p w14:paraId="527C0DE2" w14:textId="51F6BBD5" w:rsidR="00750739" w:rsidRPr="00462996" w:rsidRDefault="00750739" w:rsidP="00750739">
      <w:pPr>
        <w:pStyle w:val="NormaleWeb"/>
        <w:jc w:val="both"/>
        <w:rPr>
          <w:rFonts w:ascii="Calibri" w:hAnsi="Calibri" w:cs="Calibri"/>
          <w:sz w:val="22"/>
          <w:szCs w:val="22"/>
        </w:rPr>
      </w:pPr>
    </w:p>
    <w:p w14:paraId="0190C767" w14:textId="77777777" w:rsidR="00417C79" w:rsidRPr="00462996" w:rsidRDefault="00417C79" w:rsidP="00750739">
      <w:pPr>
        <w:pStyle w:val="NormaleWeb"/>
        <w:jc w:val="both"/>
        <w:rPr>
          <w:rFonts w:ascii="Calibri" w:hAnsi="Calibri" w:cs="Calibri"/>
          <w:sz w:val="22"/>
          <w:szCs w:val="22"/>
        </w:rPr>
      </w:pPr>
    </w:p>
    <w:p w14:paraId="559C0EBE" w14:textId="14D95700" w:rsidR="006411DF" w:rsidRPr="00462996" w:rsidRDefault="006411DF" w:rsidP="00750739">
      <w:pPr>
        <w:pStyle w:val="NormaleWeb"/>
        <w:jc w:val="both"/>
        <w:rPr>
          <w:rStyle w:val="Enfasigrassetto"/>
          <w:rFonts w:ascii="Calibri" w:hAnsi="Calibri" w:cs="Calibri"/>
          <w:sz w:val="22"/>
          <w:szCs w:val="22"/>
        </w:rPr>
      </w:pPr>
      <w:r w:rsidRPr="00462996">
        <w:rPr>
          <w:rStyle w:val="Enfasigrassetto"/>
          <w:rFonts w:ascii="Calibri" w:hAnsi="Calibri" w:cs="Calibri"/>
          <w:sz w:val="22"/>
          <w:szCs w:val="22"/>
        </w:rPr>
        <w:t>Riferimenti:</w:t>
      </w:r>
    </w:p>
    <w:p w14:paraId="5EEE77D9" w14:textId="77777777" w:rsidR="006411DF" w:rsidRPr="00462996" w:rsidRDefault="006411DF" w:rsidP="00750739">
      <w:pPr>
        <w:pStyle w:val="NormaleWeb"/>
        <w:jc w:val="both"/>
        <w:rPr>
          <w:rFonts w:ascii="Calibri" w:hAnsi="Calibri" w:cs="Calibri"/>
          <w:sz w:val="22"/>
          <w:szCs w:val="22"/>
        </w:rPr>
      </w:pPr>
      <w:r w:rsidRPr="00462996">
        <w:rPr>
          <w:rFonts w:ascii="Calibri" w:hAnsi="Calibri" w:cs="Calibri"/>
          <w:sz w:val="22"/>
          <w:szCs w:val="22"/>
        </w:rPr>
        <w:t>ANCE UMBRIA</w:t>
      </w:r>
    </w:p>
    <w:p w14:paraId="7D78A98D" w14:textId="6B907D09" w:rsidR="006411DF" w:rsidRPr="00462996" w:rsidRDefault="006411DF" w:rsidP="00750739">
      <w:pPr>
        <w:pStyle w:val="NormaleWeb"/>
        <w:jc w:val="both"/>
        <w:rPr>
          <w:rFonts w:ascii="Calibri" w:hAnsi="Calibri" w:cs="Calibri"/>
          <w:sz w:val="22"/>
          <w:szCs w:val="22"/>
        </w:rPr>
      </w:pPr>
      <w:r w:rsidRPr="00462996">
        <w:rPr>
          <w:rFonts w:ascii="Calibri" w:hAnsi="Calibri" w:cs="Calibri"/>
          <w:sz w:val="22"/>
          <w:szCs w:val="22"/>
        </w:rPr>
        <w:t xml:space="preserve">Perugia – </w:t>
      </w:r>
      <w:hyperlink r:id="rId7" w:history="1">
        <w:r w:rsidRPr="00462996">
          <w:rPr>
            <w:rStyle w:val="Collegamentoipertestuale"/>
            <w:rFonts w:ascii="Calibri" w:hAnsi="Calibri" w:cs="Calibri"/>
            <w:color w:val="0033CC"/>
            <w:sz w:val="22"/>
            <w:szCs w:val="22"/>
          </w:rPr>
          <w:t>info@anceumbria.it</w:t>
        </w:r>
      </w:hyperlink>
      <w:r w:rsidRPr="00462996">
        <w:rPr>
          <w:rFonts w:ascii="Calibri" w:hAnsi="Calibri" w:cs="Calibri"/>
          <w:sz w:val="22"/>
          <w:szCs w:val="22"/>
        </w:rPr>
        <w:t xml:space="preserve"> - Tel. 075/582751</w:t>
      </w:r>
    </w:p>
    <w:p w14:paraId="190D91BE" w14:textId="469279D8" w:rsidR="006411DF" w:rsidRPr="00462996" w:rsidRDefault="006411DF" w:rsidP="00750739">
      <w:pPr>
        <w:pStyle w:val="NormaleWeb"/>
        <w:jc w:val="both"/>
        <w:rPr>
          <w:rFonts w:ascii="Calibri" w:hAnsi="Calibri" w:cs="Calibri"/>
          <w:sz w:val="22"/>
          <w:szCs w:val="22"/>
        </w:rPr>
      </w:pPr>
      <w:r w:rsidRPr="00462996">
        <w:rPr>
          <w:rFonts w:ascii="Calibri" w:hAnsi="Calibri" w:cs="Calibri"/>
          <w:sz w:val="22"/>
          <w:szCs w:val="22"/>
        </w:rPr>
        <w:t xml:space="preserve">Terni - </w:t>
      </w:r>
      <w:hyperlink r:id="rId8" w:history="1">
        <w:r w:rsidRPr="00462996">
          <w:rPr>
            <w:rStyle w:val="Collegamentoipertestuale"/>
            <w:rFonts w:ascii="Calibri" w:hAnsi="Calibri" w:cs="Calibri"/>
            <w:color w:val="0033CC"/>
            <w:sz w:val="22"/>
            <w:szCs w:val="22"/>
          </w:rPr>
          <w:t>edilizia@confindustria.terni.it</w:t>
        </w:r>
      </w:hyperlink>
      <w:r w:rsidRPr="00462996">
        <w:rPr>
          <w:rFonts w:ascii="Calibri" w:hAnsi="Calibri" w:cs="Calibri"/>
          <w:sz w:val="22"/>
          <w:szCs w:val="22"/>
        </w:rPr>
        <w:t xml:space="preserve"> - Tel. 0744/443411</w:t>
      </w:r>
    </w:p>
    <w:p w14:paraId="389CE1E4" w14:textId="7F95CC6F" w:rsidR="005A6420" w:rsidRPr="00462996" w:rsidRDefault="005A6420" w:rsidP="00750739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="Calibri" w:hAnsi="Calibri" w:cs="Calibri"/>
          <w:sz w:val="22"/>
          <w:szCs w:val="22"/>
        </w:rPr>
      </w:pPr>
    </w:p>
    <w:p w14:paraId="5547163E" w14:textId="0D5F794F" w:rsidR="00371573" w:rsidRPr="00462996" w:rsidRDefault="00371573" w:rsidP="00750739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="Calibri" w:hAnsi="Calibri" w:cs="Calibri"/>
          <w:sz w:val="22"/>
          <w:szCs w:val="22"/>
        </w:rPr>
      </w:pPr>
    </w:p>
    <w:p w14:paraId="22BD74B0" w14:textId="59324520" w:rsidR="007930A8" w:rsidRPr="00462996" w:rsidRDefault="007930A8" w:rsidP="00750739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="Calibri" w:hAnsi="Calibri" w:cs="Calibri"/>
          <w:sz w:val="22"/>
          <w:szCs w:val="22"/>
        </w:rPr>
      </w:pPr>
    </w:p>
    <w:p w14:paraId="7892B783" w14:textId="2F970318" w:rsidR="007930A8" w:rsidRPr="00462996" w:rsidRDefault="007930A8" w:rsidP="00750739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="Calibri" w:hAnsi="Calibri" w:cs="Calibri"/>
          <w:sz w:val="22"/>
          <w:szCs w:val="22"/>
        </w:rPr>
      </w:pPr>
    </w:p>
    <w:p w14:paraId="4F5E75C7" w14:textId="75D926C3" w:rsidR="007930A8" w:rsidRPr="00462996" w:rsidRDefault="007930A8" w:rsidP="00750739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="Calibri" w:hAnsi="Calibri" w:cs="Calibri"/>
          <w:sz w:val="22"/>
          <w:szCs w:val="22"/>
        </w:rPr>
      </w:pPr>
    </w:p>
    <w:p w14:paraId="015FEBE7" w14:textId="57E9BCFB" w:rsidR="007930A8" w:rsidRPr="00462996" w:rsidRDefault="007930A8" w:rsidP="00750739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="Calibri" w:hAnsi="Calibri" w:cs="Calibri"/>
          <w:sz w:val="22"/>
          <w:szCs w:val="22"/>
        </w:rPr>
      </w:pPr>
    </w:p>
    <w:p w14:paraId="6A9803D9" w14:textId="77777777" w:rsidR="007930A8" w:rsidRPr="00462996" w:rsidRDefault="007930A8" w:rsidP="00750739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="Calibri" w:hAnsi="Calibri" w:cs="Calibri"/>
          <w:sz w:val="22"/>
          <w:szCs w:val="22"/>
        </w:rPr>
      </w:pPr>
    </w:p>
    <w:p w14:paraId="7FBCA73E" w14:textId="3D0B8898" w:rsidR="00783E6E" w:rsidRPr="00462996" w:rsidRDefault="00952E48" w:rsidP="00750739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right"/>
        <w:rPr>
          <w:rFonts w:ascii="Calibri" w:hAnsi="Calibri" w:cs="Calibri"/>
          <w:sz w:val="22"/>
          <w:szCs w:val="22"/>
        </w:rPr>
      </w:pPr>
      <w:r w:rsidRPr="00462996">
        <w:rPr>
          <w:rFonts w:ascii="Calibri" w:hAnsi="Calibri" w:cs="Calibri"/>
          <w:sz w:val="22"/>
          <w:szCs w:val="22"/>
        </w:rPr>
        <w:t xml:space="preserve">Pubblicato il </w:t>
      </w:r>
      <w:r w:rsidR="00750739" w:rsidRPr="00462996">
        <w:rPr>
          <w:rFonts w:ascii="Calibri" w:hAnsi="Calibri" w:cs="Calibri"/>
          <w:sz w:val="22"/>
          <w:szCs w:val="22"/>
        </w:rPr>
        <w:t>2</w:t>
      </w:r>
      <w:r w:rsidR="00CE6DF4">
        <w:rPr>
          <w:rFonts w:ascii="Calibri" w:hAnsi="Calibri" w:cs="Calibri"/>
          <w:sz w:val="22"/>
          <w:szCs w:val="22"/>
        </w:rPr>
        <w:t>8</w:t>
      </w:r>
      <w:r w:rsidR="00FD4966" w:rsidRPr="00462996">
        <w:rPr>
          <w:rFonts w:ascii="Calibri" w:hAnsi="Calibri" w:cs="Calibri"/>
          <w:sz w:val="22"/>
          <w:szCs w:val="22"/>
        </w:rPr>
        <w:t>/08</w:t>
      </w:r>
      <w:r w:rsidR="00297F87" w:rsidRPr="00462996">
        <w:rPr>
          <w:rFonts w:ascii="Calibri" w:hAnsi="Calibri" w:cs="Calibri"/>
          <w:sz w:val="22"/>
          <w:szCs w:val="22"/>
        </w:rPr>
        <w:t>/2020</w:t>
      </w:r>
    </w:p>
    <w:sectPr w:rsidR="00783E6E" w:rsidRPr="00462996" w:rsidSect="004E62C8">
      <w:headerReference w:type="first" r:id="rId9"/>
      <w:footerReference w:type="first" r:id="rId10"/>
      <w:type w:val="continuous"/>
      <w:pgSz w:w="11906" w:h="16838" w:code="9"/>
      <w:pgMar w:top="993" w:right="1134" w:bottom="899" w:left="1985" w:header="1080" w:footer="381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C495BF" w14:textId="77777777" w:rsidR="00CF23B3" w:rsidRDefault="00CF23B3">
      <w:r>
        <w:separator/>
      </w:r>
    </w:p>
  </w:endnote>
  <w:endnote w:type="continuationSeparator" w:id="0">
    <w:p w14:paraId="7F912D20" w14:textId="77777777" w:rsidR="00CF23B3" w:rsidRDefault="00CF2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Futura LT Book"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Futura LT Light"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4F788" w14:textId="77777777" w:rsidR="00151BDD" w:rsidRPr="004C2CC8" w:rsidRDefault="00BC4801" w:rsidP="00474ADE">
    <w:pPr>
      <w:tabs>
        <w:tab w:val="left" w:pos="900"/>
        <w:tab w:val="left" w:pos="1260"/>
        <w:tab w:val="left" w:pos="1620"/>
      </w:tabs>
      <w:rPr>
        <w:rFonts w:ascii="Futura LT Book" w:hAnsi="Futura LT Book"/>
        <w:b/>
        <w:color w:val="205394"/>
        <w:sz w:val="16"/>
        <w:szCs w:val="16"/>
      </w:rPr>
    </w:pPr>
    <w:r>
      <w:rPr>
        <w:rFonts w:ascii="Futura LT Book" w:hAnsi="Futura LT Book"/>
        <w:b/>
        <w:color w:val="205394"/>
        <w:sz w:val="16"/>
        <w:szCs w:val="16"/>
      </w:rPr>
      <w:t>Confindustria Umbria</w:t>
    </w:r>
  </w:p>
  <w:p w14:paraId="3908D6ED" w14:textId="77777777" w:rsidR="00151BDD" w:rsidRPr="004C2CC8" w:rsidRDefault="00BC4801" w:rsidP="00474ADE">
    <w:pPr>
      <w:tabs>
        <w:tab w:val="left" w:pos="900"/>
        <w:tab w:val="left" w:pos="1260"/>
        <w:tab w:val="left" w:pos="1620"/>
      </w:tabs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 xml:space="preserve">Via Palermo, 80/A </w:t>
    </w:r>
    <w:r w:rsidR="00151BDD" w:rsidRPr="004C2CC8">
      <w:rPr>
        <w:rFonts w:ascii="Futura LT Book" w:hAnsi="Futura LT Book"/>
        <w:color w:val="205394"/>
        <w:sz w:val="16"/>
        <w:szCs w:val="16"/>
      </w:rPr>
      <w:t>0612</w:t>
    </w:r>
    <w:r w:rsidR="001E720B" w:rsidRPr="004C2CC8">
      <w:rPr>
        <w:rFonts w:ascii="Futura LT Book" w:hAnsi="Futura LT Book"/>
        <w:color w:val="205394"/>
        <w:sz w:val="16"/>
        <w:szCs w:val="16"/>
      </w:rPr>
      <w:t>4</w:t>
    </w:r>
    <w:r w:rsidR="00151BDD" w:rsidRPr="004C2CC8">
      <w:rPr>
        <w:rFonts w:ascii="Futura LT Book" w:hAnsi="Futura LT Book"/>
        <w:color w:val="205394"/>
        <w:sz w:val="16"/>
        <w:szCs w:val="16"/>
      </w:rPr>
      <w:t xml:space="preserve"> Perugia </w:t>
    </w:r>
  </w:p>
  <w:p w14:paraId="232A169E" w14:textId="77777777" w:rsidR="00151BDD" w:rsidRPr="004C2CC8" w:rsidRDefault="00151BDD" w:rsidP="00474ADE">
    <w:pPr>
      <w:tabs>
        <w:tab w:val="left" w:pos="900"/>
        <w:tab w:val="left" w:pos="1260"/>
        <w:tab w:val="left" w:pos="1620"/>
      </w:tabs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>Telefono 075 582</w:t>
    </w:r>
    <w:r w:rsidR="00CB1898" w:rsidRPr="004C2CC8">
      <w:rPr>
        <w:rFonts w:ascii="Futura LT Book" w:hAnsi="Futura LT Book"/>
        <w:color w:val="205394"/>
        <w:sz w:val="16"/>
        <w:szCs w:val="16"/>
      </w:rPr>
      <w:t>01</w:t>
    </w:r>
    <w:r w:rsidRPr="004C2CC8">
      <w:rPr>
        <w:rFonts w:ascii="Futura LT Book" w:hAnsi="Futura LT Book"/>
        <w:color w:val="205394"/>
        <w:sz w:val="16"/>
        <w:szCs w:val="16"/>
      </w:rPr>
      <w:t xml:space="preserve"> – Fax 075 </w:t>
    </w:r>
    <w:r w:rsidR="00CB1898" w:rsidRPr="004C2CC8">
      <w:rPr>
        <w:rFonts w:ascii="Futura LT Book" w:hAnsi="Futura LT Book"/>
        <w:color w:val="205394"/>
        <w:sz w:val="16"/>
        <w:szCs w:val="16"/>
      </w:rPr>
      <w:t>32160</w:t>
    </w:r>
  </w:p>
  <w:p w14:paraId="20B2810B" w14:textId="77777777" w:rsidR="00151BDD" w:rsidRPr="004C2CC8" w:rsidRDefault="00952E48" w:rsidP="00474ADE">
    <w:pPr>
      <w:tabs>
        <w:tab w:val="left" w:pos="900"/>
        <w:tab w:val="left" w:pos="1260"/>
        <w:tab w:val="left" w:pos="1620"/>
      </w:tabs>
      <w:rPr>
        <w:rFonts w:ascii="Futura LT Book" w:hAnsi="Futura LT Book"/>
        <w:color w:val="205394"/>
        <w:sz w:val="16"/>
        <w:szCs w:val="16"/>
      </w:rPr>
    </w:pPr>
    <w:r>
      <w:rPr>
        <w:rFonts w:ascii="Futura LT Book" w:hAnsi="Futura LT Book"/>
        <w:color w:val="205394"/>
        <w:sz w:val="16"/>
        <w:szCs w:val="16"/>
      </w:rPr>
      <w:t>notiziario</w:t>
    </w:r>
    <w:r w:rsidR="00151BDD" w:rsidRPr="004C2CC8">
      <w:rPr>
        <w:rFonts w:ascii="Futura LT Book" w:hAnsi="Futura LT Book"/>
        <w:color w:val="205394"/>
        <w:sz w:val="16"/>
        <w:szCs w:val="16"/>
      </w:rPr>
      <w:t>@confindustria.umbria.it   www.confindustria.umbria.it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B9B788" w14:textId="77777777" w:rsidR="00CF23B3" w:rsidRDefault="00CF23B3">
      <w:r>
        <w:separator/>
      </w:r>
    </w:p>
  </w:footnote>
  <w:footnote w:type="continuationSeparator" w:id="0">
    <w:p w14:paraId="4A017E9E" w14:textId="77777777" w:rsidR="00CF23B3" w:rsidRDefault="00CF2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578" w:type="dxa"/>
      <w:tblInd w:w="-792" w:type="dxa"/>
      <w:tblLayout w:type="fixed"/>
      <w:tblLook w:val="01E0" w:firstRow="1" w:lastRow="1" w:firstColumn="1" w:lastColumn="1" w:noHBand="0" w:noVBand="0"/>
    </w:tblPr>
    <w:tblGrid>
      <w:gridCol w:w="900"/>
      <w:gridCol w:w="5421"/>
      <w:gridCol w:w="1653"/>
      <w:gridCol w:w="4604"/>
    </w:tblGrid>
    <w:tr w:rsidR="001867E9" w14:paraId="1C413A52" w14:textId="77777777" w:rsidTr="00952E48">
      <w:tc>
        <w:tcPr>
          <w:tcW w:w="900" w:type="dxa"/>
        </w:tcPr>
        <w:p w14:paraId="13A69F8E" w14:textId="77777777" w:rsidR="001867E9" w:rsidRDefault="00CF23B3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  <w:r>
            <w:rPr>
              <w:noProof/>
              <w:color w:val="205394"/>
            </w:rPr>
            <w:pict w14:anchorId="6656F28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" o:spid="_x0000_i1025" type="#_x0000_t75" alt="acquila" style="width:40.5pt;height:39pt;visibility:visible">
                <v:imagedata r:id="rId1" o:title="acquila"/>
              </v:shape>
            </w:pict>
          </w:r>
        </w:p>
      </w:tc>
      <w:tc>
        <w:tcPr>
          <w:tcW w:w="5421" w:type="dxa"/>
          <w:vAlign w:val="bottom"/>
        </w:tcPr>
        <w:p w14:paraId="7A43C720" w14:textId="77777777" w:rsidR="001867E9" w:rsidRPr="00895D5A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color w:val="205394"/>
              <w:sz w:val="20"/>
              <w:szCs w:val="20"/>
            </w:rPr>
          </w:pPr>
          <w:r w:rsidRPr="00895D5A">
            <w:rPr>
              <w:rFonts w:ascii="Futura LT Book" w:hAnsi="Futura LT Book"/>
              <w:color w:val="205394"/>
              <w:sz w:val="20"/>
              <w:szCs w:val="20"/>
            </w:rPr>
            <w:t>CONFINDUSTRIA</w:t>
          </w:r>
          <w:r w:rsidR="00CB1898" w:rsidRPr="00895D5A">
            <w:rPr>
              <w:rFonts w:ascii="Futura LT Book" w:hAnsi="Futura LT Book"/>
              <w:color w:val="205394"/>
              <w:sz w:val="20"/>
              <w:szCs w:val="20"/>
            </w:rPr>
            <w:t xml:space="preserve"> UMBRIA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  <w:r w:rsidR="00952E48" w:rsidRPr="00952E48">
            <w:rPr>
              <w:rFonts w:ascii="Futura LT Book" w:hAnsi="Futura LT Book"/>
              <w:color w:val="205394"/>
              <w:sz w:val="20"/>
              <w:szCs w:val="20"/>
            </w:rPr>
            <w:t>NEWS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</w:p>
      </w:tc>
      <w:tc>
        <w:tcPr>
          <w:tcW w:w="1653" w:type="dxa"/>
          <w:vAlign w:val="bottom"/>
        </w:tcPr>
        <w:p w14:paraId="153B0DD7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  <w:vAlign w:val="bottom"/>
        </w:tcPr>
        <w:p w14:paraId="158EA449" w14:textId="77777777" w:rsidR="001867E9" w:rsidRDefault="001867E9">
          <w:pPr>
            <w:rPr>
              <w:rFonts w:ascii="Futura LT Light" w:hAnsi="Futura LT Light"/>
              <w:color w:val="00247E"/>
              <w:sz w:val="20"/>
              <w:szCs w:val="20"/>
            </w:rPr>
          </w:pPr>
        </w:p>
      </w:tc>
    </w:tr>
    <w:tr w:rsidR="001867E9" w14:paraId="7D902A2D" w14:textId="77777777" w:rsidTr="00952E48">
      <w:tc>
        <w:tcPr>
          <w:tcW w:w="900" w:type="dxa"/>
        </w:tcPr>
        <w:p w14:paraId="0D671F4E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5421" w:type="dxa"/>
        </w:tcPr>
        <w:p w14:paraId="482899B3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sz w:val="20"/>
            </w:rPr>
          </w:pPr>
        </w:p>
      </w:tc>
      <w:tc>
        <w:tcPr>
          <w:tcW w:w="1653" w:type="dxa"/>
        </w:tcPr>
        <w:p w14:paraId="589D41D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</w:tcPr>
        <w:p w14:paraId="23F4B353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</w:tr>
  </w:tbl>
  <w:p w14:paraId="1EAEF4F0" w14:textId="77777777" w:rsidR="001867E9" w:rsidRDefault="001867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C05D1"/>
    <w:multiLevelType w:val="hybridMultilevel"/>
    <w:tmpl w:val="A0D45D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029D9"/>
    <w:multiLevelType w:val="hybridMultilevel"/>
    <w:tmpl w:val="55B091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87FDA"/>
    <w:multiLevelType w:val="multilevel"/>
    <w:tmpl w:val="50622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4F37CA"/>
    <w:multiLevelType w:val="hybridMultilevel"/>
    <w:tmpl w:val="ACA47E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B3329"/>
    <w:multiLevelType w:val="multilevel"/>
    <w:tmpl w:val="BCBE3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CA05A1"/>
    <w:multiLevelType w:val="multilevel"/>
    <w:tmpl w:val="47ECB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8C3BC2"/>
    <w:multiLevelType w:val="hybridMultilevel"/>
    <w:tmpl w:val="3D44CA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0297B"/>
    <w:multiLevelType w:val="hybridMultilevel"/>
    <w:tmpl w:val="0DC6C4E0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2E20488F"/>
    <w:multiLevelType w:val="multilevel"/>
    <w:tmpl w:val="A3822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4CA4982"/>
    <w:multiLevelType w:val="multilevel"/>
    <w:tmpl w:val="82A69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6381896"/>
    <w:multiLevelType w:val="hybridMultilevel"/>
    <w:tmpl w:val="B92AEE6E"/>
    <w:lvl w:ilvl="0" w:tplc="EF1A7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16C87"/>
    <w:multiLevelType w:val="hybridMultilevel"/>
    <w:tmpl w:val="8F5A164A"/>
    <w:lvl w:ilvl="0" w:tplc="52922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49768B"/>
    <w:multiLevelType w:val="hybridMultilevel"/>
    <w:tmpl w:val="2410CC46"/>
    <w:styleLink w:val="Puntielenco"/>
    <w:lvl w:ilvl="0" w:tplc="4860FCE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E2C70E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1A55E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FAB04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5295D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9C116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BCFE5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EEB8D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F2870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03653BB"/>
    <w:multiLevelType w:val="multilevel"/>
    <w:tmpl w:val="D3C4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01674E"/>
    <w:multiLevelType w:val="hybridMultilevel"/>
    <w:tmpl w:val="C92075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A81D29"/>
    <w:multiLevelType w:val="multilevel"/>
    <w:tmpl w:val="EFD0A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5CD2C65"/>
    <w:multiLevelType w:val="hybridMultilevel"/>
    <w:tmpl w:val="928C722A"/>
    <w:lvl w:ilvl="0" w:tplc="EF1A7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A60AC7"/>
    <w:multiLevelType w:val="multilevel"/>
    <w:tmpl w:val="6B32B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3B3BBF"/>
    <w:multiLevelType w:val="multilevel"/>
    <w:tmpl w:val="7F78A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4A65C7F"/>
    <w:multiLevelType w:val="hybridMultilevel"/>
    <w:tmpl w:val="671C28E2"/>
    <w:lvl w:ilvl="0" w:tplc="B86C97B4">
      <w:start w:val="1"/>
      <w:numFmt w:val="bullet"/>
      <w:lvlText w:val="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 w15:restartNumberingAfterBreak="0">
    <w:nsid w:val="7837219F"/>
    <w:multiLevelType w:val="hybridMultilevel"/>
    <w:tmpl w:val="146E4008"/>
    <w:lvl w:ilvl="0" w:tplc="0410000F">
      <w:start w:val="1"/>
      <w:numFmt w:val="decimal"/>
      <w:lvlText w:val="%1."/>
      <w:lvlJc w:val="left"/>
      <w:pPr>
        <w:ind w:left="1515" w:hanging="360"/>
      </w:pPr>
    </w:lvl>
    <w:lvl w:ilvl="1" w:tplc="04100019" w:tentative="1">
      <w:start w:val="1"/>
      <w:numFmt w:val="lowerLetter"/>
      <w:lvlText w:val="%2."/>
      <w:lvlJc w:val="left"/>
      <w:pPr>
        <w:ind w:left="2235" w:hanging="360"/>
      </w:pPr>
    </w:lvl>
    <w:lvl w:ilvl="2" w:tplc="0410001B" w:tentative="1">
      <w:start w:val="1"/>
      <w:numFmt w:val="lowerRoman"/>
      <w:lvlText w:val="%3."/>
      <w:lvlJc w:val="right"/>
      <w:pPr>
        <w:ind w:left="2955" w:hanging="180"/>
      </w:pPr>
    </w:lvl>
    <w:lvl w:ilvl="3" w:tplc="0410000F" w:tentative="1">
      <w:start w:val="1"/>
      <w:numFmt w:val="decimal"/>
      <w:lvlText w:val="%4."/>
      <w:lvlJc w:val="left"/>
      <w:pPr>
        <w:ind w:left="3675" w:hanging="360"/>
      </w:pPr>
    </w:lvl>
    <w:lvl w:ilvl="4" w:tplc="04100019" w:tentative="1">
      <w:start w:val="1"/>
      <w:numFmt w:val="lowerLetter"/>
      <w:lvlText w:val="%5."/>
      <w:lvlJc w:val="left"/>
      <w:pPr>
        <w:ind w:left="4395" w:hanging="360"/>
      </w:pPr>
    </w:lvl>
    <w:lvl w:ilvl="5" w:tplc="0410001B" w:tentative="1">
      <w:start w:val="1"/>
      <w:numFmt w:val="lowerRoman"/>
      <w:lvlText w:val="%6."/>
      <w:lvlJc w:val="right"/>
      <w:pPr>
        <w:ind w:left="5115" w:hanging="180"/>
      </w:pPr>
    </w:lvl>
    <w:lvl w:ilvl="6" w:tplc="0410000F" w:tentative="1">
      <w:start w:val="1"/>
      <w:numFmt w:val="decimal"/>
      <w:lvlText w:val="%7."/>
      <w:lvlJc w:val="left"/>
      <w:pPr>
        <w:ind w:left="5835" w:hanging="360"/>
      </w:pPr>
    </w:lvl>
    <w:lvl w:ilvl="7" w:tplc="04100019" w:tentative="1">
      <w:start w:val="1"/>
      <w:numFmt w:val="lowerLetter"/>
      <w:lvlText w:val="%8."/>
      <w:lvlJc w:val="left"/>
      <w:pPr>
        <w:ind w:left="6555" w:hanging="360"/>
      </w:pPr>
    </w:lvl>
    <w:lvl w:ilvl="8" w:tplc="0410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1" w15:restartNumberingAfterBreak="0">
    <w:nsid w:val="793D75C0"/>
    <w:multiLevelType w:val="hybridMultilevel"/>
    <w:tmpl w:val="E362D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D93450"/>
    <w:multiLevelType w:val="multilevel"/>
    <w:tmpl w:val="3D30DF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972E2F"/>
    <w:multiLevelType w:val="hybridMultilevel"/>
    <w:tmpl w:val="0EF06C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21"/>
  </w:num>
  <w:num w:numId="5">
    <w:abstractNumId w:val="20"/>
  </w:num>
  <w:num w:numId="6">
    <w:abstractNumId w:val="0"/>
  </w:num>
  <w:num w:numId="7">
    <w:abstractNumId w:val="23"/>
  </w:num>
  <w:num w:numId="8">
    <w:abstractNumId w:val="11"/>
  </w:num>
  <w:num w:numId="9">
    <w:abstractNumId w:val="17"/>
  </w:num>
  <w:num w:numId="10">
    <w:abstractNumId w:val="22"/>
  </w:num>
  <w:num w:numId="11">
    <w:abstractNumId w:val="13"/>
  </w:num>
  <w:num w:numId="12">
    <w:abstractNumId w:val="2"/>
  </w:num>
  <w:num w:numId="13">
    <w:abstractNumId w:val="3"/>
  </w:num>
  <w:num w:numId="14">
    <w:abstractNumId w:val="18"/>
  </w:num>
  <w:num w:numId="15">
    <w:abstractNumId w:val="4"/>
  </w:num>
  <w:num w:numId="16">
    <w:abstractNumId w:val="15"/>
  </w:num>
  <w:num w:numId="17">
    <w:abstractNumId w:val="8"/>
  </w:num>
  <w:num w:numId="18">
    <w:abstractNumId w:val="9"/>
  </w:num>
  <w:num w:numId="19">
    <w:abstractNumId w:val="1"/>
  </w:num>
  <w:num w:numId="20">
    <w:abstractNumId w:val="7"/>
  </w:num>
  <w:num w:numId="21">
    <w:abstractNumId w:val="16"/>
  </w:num>
  <w:num w:numId="22">
    <w:abstractNumId w:val="10"/>
  </w:num>
  <w:num w:numId="23">
    <w:abstractNumId w:val="14"/>
  </w:num>
  <w:num w:numId="24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7418"/>
    <w:rsid w:val="000013D4"/>
    <w:rsid w:val="000018C4"/>
    <w:rsid w:val="00002340"/>
    <w:rsid w:val="00012716"/>
    <w:rsid w:val="000143BB"/>
    <w:rsid w:val="00014CFE"/>
    <w:rsid w:val="00016196"/>
    <w:rsid w:val="00030A72"/>
    <w:rsid w:val="000369D4"/>
    <w:rsid w:val="00037418"/>
    <w:rsid w:val="00040CFB"/>
    <w:rsid w:val="0004674A"/>
    <w:rsid w:val="00052071"/>
    <w:rsid w:val="000539CB"/>
    <w:rsid w:val="00053A2C"/>
    <w:rsid w:val="000614F9"/>
    <w:rsid w:val="000625BE"/>
    <w:rsid w:val="000637F2"/>
    <w:rsid w:val="000703BF"/>
    <w:rsid w:val="000742BE"/>
    <w:rsid w:val="00080ADD"/>
    <w:rsid w:val="00087150"/>
    <w:rsid w:val="0009085F"/>
    <w:rsid w:val="000B06C6"/>
    <w:rsid w:val="000B2103"/>
    <w:rsid w:val="000C53BB"/>
    <w:rsid w:val="000D0123"/>
    <w:rsid w:val="000D36C6"/>
    <w:rsid w:val="000D45D8"/>
    <w:rsid w:val="000D4668"/>
    <w:rsid w:val="000D4ADA"/>
    <w:rsid w:val="000D6C34"/>
    <w:rsid w:val="000E38C9"/>
    <w:rsid w:val="000E5710"/>
    <w:rsid w:val="000E6DB1"/>
    <w:rsid w:val="0010566D"/>
    <w:rsid w:val="00117DE3"/>
    <w:rsid w:val="00126D4F"/>
    <w:rsid w:val="001311CA"/>
    <w:rsid w:val="00134010"/>
    <w:rsid w:val="0013536D"/>
    <w:rsid w:val="00136808"/>
    <w:rsid w:val="00145628"/>
    <w:rsid w:val="00151B1D"/>
    <w:rsid w:val="00151BDD"/>
    <w:rsid w:val="00160F19"/>
    <w:rsid w:val="001674E2"/>
    <w:rsid w:val="00172666"/>
    <w:rsid w:val="00177173"/>
    <w:rsid w:val="00181F9E"/>
    <w:rsid w:val="001867E9"/>
    <w:rsid w:val="00197786"/>
    <w:rsid w:val="001A0EA6"/>
    <w:rsid w:val="001A61DB"/>
    <w:rsid w:val="001B0373"/>
    <w:rsid w:val="001B1366"/>
    <w:rsid w:val="001B68B7"/>
    <w:rsid w:val="001C016B"/>
    <w:rsid w:val="001C5C73"/>
    <w:rsid w:val="001D46AD"/>
    <w:rsid w:val="001D783D"/>
    <w:rsid w:val="001D7F3D"/>
    <w:rsid w:val="001E0909"/>
    <w:rsid w:val="001E1A02"/>
    <w:rsid w:val="001E720B"/>
    <w:rsid w:val="001F202A"/>
    <w:rsid w:val="001F48AB"/>
    <w:rsid w:val="001F4BA5"/>
    <w:rsid w:val="0020292B"/>
    <w:rsid w:val="00206722"/>
    <w:rsid w:val="00210ED4"/>
    <w:rsid w:val="002113BA"/>
    <w:rsid w:val="002166C4"/>
    <w:rsid w:val="0022540F"/>
    <w:rsid w:val="00226927"/>
    <w:rsid w:val="00230989"/>
    <w:rsid w:val="00237B46"/>
    <w:rsid w:val="00241A95"/>
    <w:rsid w:val="00242295"/>
    <w:rsid w:val="00254095"/>
    <w:rsid w:val="002650B4"/>
    <w:rsid w:val="002655A5"/>
    <w:rsid w:val="00265FD1"/>
    <w:rsid w:val="00267F8E"/>
    <w:rsid w:val="0027190F"/>
    <w:rsid w:val="0027421E"/>
    <w:rsid w:val="002743DA"/>
    <w:rsid w:val="00293463"/>
    <w:rsid w:val="002959ED"/>
    <w:rsid w:val="00297F87"/>
    <w:rsid w:val="002A6DFD"/>
    <w:rsid w:val="002B3446"/>
    <w:rsid w:val="002B5E47"/>
    <w:rsid w:val="002B7EEB"/>
    <w:rsid w:val="002D246E"/>
    <w:rsid w:val="002D2B28"/>
    <w:rsid w:val="002E4047"/>
    <w:rsid w:val="002F44A9"/>
    <w:rsid w:val="00300CDB"/>
    <w:rsid w:val="00306EA7"/>
    <w:rsid w:val="003114C4"/>
    <w:rsid w:val="00315031"/>
    <w:rsid w:val="00315091"/>
    <w:rsid w:val="00322EE8"/>
    <w:rsid w:val="00326815"/>
    <w:rsid w:val="003347DC"/>
    <w:rsid w:val="0034265F"/>
    <w:rsid w:val="00344B54"/>
    <w:rsid w:val="00363BF8"/>
    <w:rsid w:val="003646F3"/>
    <w:rsid w:val="003702D1"/>
    <w:rsid w:val="00371573"/>
    <w:rsid w:val="00385BAE"/>
    <w:rsid w:val="003944BF"/>
    <w:rsid w:val="00395392"/>
    <w:rsid w:val="003A759E"/>
    <w:rsid w:val="003B0B57"/>
    <w:rsid w:val="003B6D95"/>
    <w:rsid w:val="003B7ED2"/>
    <w:rsid w:val="003C19FB"/>
    <w:rsid w:val="003C6682"/>
    <w:rsid w:val="003E5874"/>
    <w:rsid w:val="003F1228"/>
    <w:rsid w:val="0041047E"/>
    <w:rsid w:val="0041177C"/>
    <w:rsid w:val="00417C79"/>
    <w:rsid w:val="0042052A"/>
    <w:rsid w:val="004353E3"/>
    <w:rsid w:val="004435C3"/>
    <w:rsid w:val="00454209"/>
    <w:rsid w:val="00462395"/>
    <w:rsid w:val="00462996"/>
    <w:rsid w:val="00465747"/>
    <w:rsid w:val="00472D2B"/>
    <w:rsid w:val="00474ADE"/>
    <w:rsid w:val="0047686E"/>
    <w:rsid w:val="00483E55"/>
    <w:rsid w:val="004A43B9"/>
    <w:rsid w:val="004A5095"/>
    <w:rsid w:val="004B0EF1"/>
    <w:rsid w:val="004B5C7B"/>
    <w:rsid w:val="004B691C"/>
    <w:rsid w:val="004C1CE6"/>
    <w:rsid w:val="004C2CC8"/>
    <w:rsid w:val="004C6703"/>
    <w:rsid w:val="004D48E8"/>
    <w:rsid w:val="004D4957"/>
    <w:rsid w:val="004E0C94"/>
    <w:rsid w:val="004E3922"/>
    <w:rsid w:val="004E62C8"/>
    <w:rsid w:val="004F2D22"/>
    <w:rsid w:val="00517FCD"/>
    <w:rsid w:val="00520F32"/>
    <w:rsid w:val="005276B5"/>
    <w:rsid w:val="0053112D"/>
    <w:rsid w:val="00531CA4"/>
    <w:rsid w:val="00532542"/>
    <w:rsid w:val="00534E4E"/>
    <w:rsid w:val="00546306"/>
    <w:rsid w:val="005615FE"/>
    <w:rsid w:val="00565BA4"/>
    <w:rsid w:val="00570DF9"/>
    <w:rsid w:val="00571AA5"/>
    <w:rsid w:val="00572355"/>
    <w:rsid w:val="00572EC8"/>
    <w:rsid w:val="00580492"/>
    <w:rsid w:val="00580D22"/>
    <w:rsid w:val="00583231"/>
    <w:rsid w:val="00585124"/>
    <w:rsid w:val="00585847"/>
    <w:rsid w:val="005952A0"/>
    <w:rsid w:val="005A2FBD"/>
    <w:rsid w:val="005A6420"/>
    <w:rsid w:val="005A68AC"/>
    <w:rsid w:val="005B0270"/>
    <w:rsid w:val="005B68CD"/>
    <w:rsid w:val="005C488C"/>
    <w:rsid w:val="005D26BF"/>
    <w:rsid w:val="005D2783"/>
    <w:rsid w:val="005E05F4"/>
    <w:rsid w:val="005E29D1"/>
    <w:rsid w:val="005E2A6A"/>
    <w:rsid w:val="005E5E6F"/>
    <w:rsid w:val="005E694F"/>
    <w:rsid w:val="005F136F"/>
    <w:rsid w:val="00600B26"/>
    <w:rsid w:val="00606C5A"/>
    <w:rsid w:val="0061389C"/>
    <w:rsid w:val="00617528"/>
    <w:rsid w:val="00625F3C"/>
    <w:rsid w:val="00627603"/>
    <w:rsid w:val="00633A04"/>
    <w:rsid w:val="00634F54"/>
    <w:rsid w:val="006370DF"/>
    <w:rsid w:val="006411A6"/>
    <w:rsid w:val="006411DF"/>
    <w:rsid w:val="00646791"/>
    <w:rsid w:val="00654840"/>
    <w:rsid w:val="00673C44"/>
    <w:rsid w:val="00684F34"/>
    <w:rsid w:val="00686CD4"/>
    <w:rsid w:val="0069445C"/>
    <w:rsid w:val="00696623"/>
    <w:rsid w:val="006A03F2"/>
    <w:rsid w:val="006A2CD6"/>
    <w:rsid w:val="006C0F54"/>
    <w:rsid w:val="006C26BE"/>
    <w:rsid w:val="006C4649"/>
    <w:rsid w:val="006C5530"/>
    <w:rsid w:val="006C6827"/>
    <w:rsid w:val="006D187D"/>
    <w:rsid w:val="006E4E22"/>
    <w:rsid w:val="006E64CC"/>
    <w:rsid w:val="006E71D6"/>
    <w:rsid w:val="006F3D2C"/>
    <w:rsid w:val="006F4A89"/>
    <w:rsid w:val="007006D5"/>
    <w:rsid w:val="00706997"/>
    <w:rsid w:val="00710780"/>
    <w:rsid w:val="007120A3"/>
    <w:rsid w:val="007212D6"/>
    <w:rsid w:val="00721719"/>
    <w:rsid w:val="007268E0"/>
    <w:rsid w:val="007278BF"/>
    <w:rsid w:val="00727E86"/>
    <w:rsid w:val="00730857"/>
    <w:rsid w:val="007336E8"/>
    <w:rsid w:val="00744DE8"/>
    <w:rsid w:val="00745E91"/>
    <w:rsid w:val="00750739"/>
    <w:rsid w:val="00754C9D"/>
    <w:rsid w:val="0075722D"/>
    <w:rsid w:val="00761C9E"/>
    <w:rsid w:val="00764518"/>
    <w:rsid w:val="00766FFC"/>
    <w:rsid w:val="00775FF9"/>
    <w:rsid w:val="00783E6E"/>
    <w:rsid w:val="007872ED"/>
    <w:rsid w:val="007900D5"/>
    <w:rsid w:val="007911A1"/>
    <w:rsid w:val="00792D99"/>
    <w:rsid w:val="007930A8"/>
    <w:rsid w:val="00793849"/>
    <w:rsid w:val="00796CE5"/>
    <w:rsid w:val="007A106A"/>
    <w:rsid w:val="007A4BC4"/>
    <w:rsid w:val="007A514A"/>
    <w:rsid w:val="007B0324"/>
    <w:rsid w:val="007B0D7B"/>
    <w:rsid w:val="007B28C2"/>
    <w:rsid w:val="007B4F16"/>
    <w:rsid w:val="007B72D4"/>
    <w:rsid w:val="007B7550"/>
    <w:rsid w:val="007C1279"/>
    <w:rsid w:val="007D0756"/>
    <w:rsid w:val="007D102D"/>
    <w:rsid w:val="007D346E"/>
    <w:rsid w:val="007E02A8"/>
    <w:rsid w:val="007E1CB1"/>
    <w:rsid w:val="007E52F6"/>
    <w:rsid w:val="007E7A85"/>
    <w:rsid w:val="007F16F9"/>
    <w:rsid w:val="007F7D2A"/>
    <w:rsid w:val="00801AE3"/>
    <w:rsid w:val="008021EA"/>
    <w:rsid w:val="0080382C"/>
    <w:rsid w:val="008050CE"/>
    <w:rsid w:val="008122F0"/>
    <w:rsid w:val="00814B6A"/>
    <w:rsid w:val="00827AA4"/>
    <w:rsid w:val="0083206A"/>
    <w:rsid w:val="008324D4"/>
    <w:rsid w:val="00842CAC"/>
    <w:rsid w:val="0085090E"/>
    <w:rsid w:val="00876261"/>
    <w:rsid w:val="0089242A"/>
    <w:rsid w:val="00895D5A"/>
    <w:rsid w:val="008B3432"/>
    <w:rsid w:val="008B5620"/>
    <w:rsid w:val="008B795E"/>
    <w:rsid w:val="008C21F3"/>
    <w:rsid w:val="008C6FB9"/>
    <w:rsid w:val="008E4D83"/>
    <w:rsid w:val="008E602C"/>
    <w:rsid w:val="008F7F38"/>
    <w:rsid w:val="009023F1"/>
    <w:rsid w:val="0091416E"/>
    <w:rsid w:val="0092313F"/>
    <w:rsid w:val="00924F70"/>
    <w:rsid w:val="009259DA"/>
    <w:rsid w:val="00930421"/>
    <w:rsid w:val="00933A9A"/>
    <w:rsid w:val="00935FD9"/>
    <w:rsid w:val="00936AC3"/>
    <w:rsid w:val="00943234"/>
    <w:rsid w:val="00943AF3"/>
    <w:rsid w:val="00947B49"/>
    <w:rsid w:val="00951362"/>
    <w:rsid w:val="00952E48"/>
    <w:rsid w:val="00962B81"/>
    <w:rsid w:val="00964D43"/>
    <w:rsid w:val="00972881"/>
    <w:rsid w:val="009A181B"/>
    <w:rsid w:val="009A600B"/>
    <w:rsid w:val="009B0727"/>
    <w:rsid w:val="009B370B"/>
    <w:rsid w:val="009C20B0"/>
    <w:rsid w:val="009C5511"/>
    <w:rsid w:val="009C66FF"/>
    <w:rsid w:val="009D0AE2"/>
    <w:rsid w:val="009D26C3"/>
    <w:rsid w:val="009D42AF"/>
    <w:rsid w:val="009D58A8"/>
    <w:rsid w:val="009D6A94"/>
    <w:rsid w:val="009E0FC5"/>
    <w:rsid w:val="009E313A"/>
    <w:rsid w:val="009E5252"/>
    <w:rsid w:val="009E718E"/>
    <w:rsid w:val="009F00C9"/>
    <w:rsid w:val="009F30D5"/>
    <w:rsid w:val="00A00CC0"/>
    <w:rsid w:val="00A02167"/>
    <w:rsid w:val="00A029FA"/>
    <w:rsid w:val="00A100C9"/>
    <w:rsid w:val="00A108C5"/>
    <w:rsid w:val="00A2160D"/>
    <w:rsid w:val="00A238E8"/>
    <w:rsid w:val="00A27F82"/>
    <w:rsid w:val="00A35E9C"/>
    <w:rsid w:val="00A549EE"/>
    <w:rsid w:val="00A554C8"/>
    <w:rsid w:val="00A5706E"/>
    <w:rsid w:val="00A65A7B"/>
    <w:rsid w:val="00A72245"/>
    <w:rsid w:val="00A7325D"/>
    <w:rsid w:val="00A86C5A"/>
    <w:rsid w:val="00A874BE"/>
    <w:rsid w:val="00A92403"/>
    <w:rsid w:val="00AA0D22"/>
    <w:rsid w:val="00AA32FA"/>
    <w:rsid w:val="00AA755B"/>
    <w:rsid w:val="00AA7A03"/>
    <w:rsid w:val="00AB5961"/>
    <w:rsid w:val="00AC09F6"/>
    <w:rsid w:val="00AC0DA4"/>
    <w:rsid w:val="00AC363E"/>
    <w:rsid w:val="00AD6736"/>
    <w:rsid w:val="00AE4116"/>
    <w:rsid w:val="00AE484B"/>
    <w:rsid w:val="00AE7C4C"/>
    <w:rsid w:val="00AF1207"/>
    <w:rsid w:val="00AF303A"/>
    <w:rsid w:val="00AF4404"/>
    <w:rsid w:val="00AF4D79"/>
    <w:rsid w:val="00AF6300"/>
    <w:rsid w:val="00B1385A"/>
    <w:rsid w:val="00B203AC"/>
    <w:rsid w:val="00B23422"/>
    <w:rsid w:val="00B27B4F"/>
    <w:rsid w:val="00B27DA0"/>
    <w:rsid w:val="00B34B96"/>
    <w:rsid w:val="00B37E06"/>
    <w:rsid w:val="00B44EC6"/>
    <w:rsid w:val="00B52E0A"/>
    <w:rsid w:val="00B55997"/>
    <w:rsid w:val="00B56F41"/>
    <w:rsid w:val="00B71AF1"/>
    <w:rsid w:val="00B74B3D"/>
    <w:rsid w:val="00B90950"/>
    <w:rsid w:val="00B954F6"/>
    <w:rsid w:val="00B9787B"/>
    <w:rsid w:val="00B97A78"/>
    <w:rsid w:val="00BA6BD6"/>
    <w:rsid w:val="00BA7B76"/>
    <w:rsid w:val="00BB7D4D"/>
    <w:rsid w:val="00BC0691"/>
    <w:rsid w:val="00BC4801"/>
    <w:rsid w:val="00BD3C2C"/>
    <w:rsid w:val="00BD60DB"/>
    <w:rsid w:val="00C10A7A"/>
    <w:rsid w:val="00C13B4C"/>
    <w:rsid w:val="00C27714"/>
    <w:rsid w:val="00C433AC"/>
    <w:rsid w:val="00C46AA6"/>
    <w:rsid w:val="00C6046C"/>
    <w:rsid w:val="00C6483F"/>
    <w:rsid w:val="00C7079A"/>
    <w:rsid w:val="00C82C7A"/>
    <w:rsid w:val="00C86132"/>
    <w:rsid w:val="00C92C40"/>
    <w:rsid w:val="00C93D89"/>
    <w:rsid w:val="00C96C69"/>
    <w:rsid w:val="00CA1FD0"/>
    <w:rsid w:val="00CA32BA"/>
    <w:rsid w:val="00CA5FB4"/>
    <w:rsid w:val="00CA677D"/>
    <w:rsid w:val="00CB0B8E"/>
    <w:rsid w:val="00CB1898"/>
    <w:rsid w:val="00CB302D"/>
    <w:rsid w:val="00CC1909"/>
    <w:rsid w:val="00CC42BA"/>
    <w:rsid w:val="00CD2F0A"/>
    <w:rsid w:val="00CD4A8E"/>
    <w:rsid w:val="00CE5F79"/>
    <w:rsid w:val="00CE6DF4"/>
    <w:rsid w:val="00CF1412"/>
    <w:rsid w:val="00CF23B3"/>
    <w:rsid w:val="00CF2775"/>
    <w:rsid w:val="00CF6D2A"/>
    <w:rsid w:val="00D05B8F"/>
    <w:rsid w:val="00D06063"/>
    <w:rsid w:val="00D102CD"/>
    <w:rsid w:val="00D12686"/>
    <w:rsid w:val="00D12E1E"/>
    <w:rsid w:val="00D13CAB"/>
    <w:rsid w:val="00D2250C"/>
    <w:rsid w:val="00D2305A"/>
    <w:rsid w:val="00D24A1C"/>
    <w:rsid w:val="00D25CF8"/>
    <w:rsid w:val="00D30E39"/>
    <w:rsid w:val="00D327D9"/>
    <w:rsid w:val="00D32FC7"/>
    <w:rsid w:val="00D35077"/>
    <w:rsid w:val="00D403FB"/>
    <w:rsid w:val="00D42C91"/>
    <w:rsid w:val="00D46D8F"/>
    <w:rsid w:val="00D50F2A"/>
    <w:rsid w:val="00D54D0D"/>
    <w:rsid w:val="00D551CF"/>
    <w:rsid w:val="00D66BBB"/>
    <w:rsid w:val="00D70745"/>
    <w:rsid w:val="00D71FF5"/>
    <w:rsid w:val="00D74092"/>
    <w:rsid w:val="00D77E54"/>
    <w:rsid w:val="00D9275A"/>
    <w:rsid w:val="00DA4273"/>
    <w:rsid w:val="00DA5995"/>
    <w:rsid w:val="00DB3985"/>
    <w:rsid w:val="00DB4953"/>
    <w:rsid w:val="00DC0ED4"/>
    <w:rsid w:val="00DC7F97"/>
    <w:rsid w:val="00DD019F"/>
    <w:rsid w:val="00DE15E7"/>
    <w:rsid w:val="00DF5163"/>
    <w:rsid w:val="00E15D00"/>
    <w:rsid w:val="00E20570"/>
    <w:rsid w:val="00E209CB"/>
    <w:rsid w:val="00E25D34"/>
    <w:rsid w:val="00E273B4"/>
    <w:rsid w:val="00E31E8B"/>
    <w:rsid w:val="00E36D39"/>
    <w:rsid w:val="00E44B8E"/>
    <w:rsid w:val="00E47D5B"/>
    <w:rsid w:val="00E5260E"/>
    <w:rsid w:val="00E56C4C"/>
    <w:rsid w:val="00E71CEB"/>
    <w:rsid w:val="00E74979"/>
    <w:rsid w:val="00E80796"/>
    <w:rsid w:val="00E83FD1"/>
    <w:rsid w:val="00E906B5"/>
    <w:rsid w:val="00E909DF"/>
    <w:rsid w:val="00EA4465"/>
    <w:rsid w:val="00EB1B2C"/>
    <w:rsid w:val="00EB54EC"/>
    <w:rsid w:val="00EB5F34"/>
    <w:rsid w:val="00EB6196"/>
    <w:rsid w:val="00EB749A"/>
    <w:rsid w:val="00EC0D5D"/>
    <w:rsid w:val="00ED1726"/>
    <w:rsid w:val="00ED2018"/>
    <w:rsid w:val="00ED2B9F"/>
    <w:rsid w:val="00ED6E2C"/>
    <w:rsid w:val="00ED7B1E"/>
    <w:rsid w:val="00EE18FB"/>
    <w:rsid w:val="00EF1C88"/>
    <w:rsid w:val="00EF69AE"/>
    <w:rsid w:val="00F06540"/>
    <w:rsid w:val="00F136B4"/>
    <w:rsid w:val="00F169DE"/>
    <w:rsid w:val="00F23D65"/>
    <w:rsid w:val="00F31A89"/>
    <w:rsid w:val="00F32A75"/>
    <w:rsid w:val="00F4051C"/>
    <w:rsid w:val="00F4663F"/>
    <w:rsid w:val="00F51DA0"/>
    <w:rsid w:val="00F52882"/>
    <w:rsid w:val="00F53831"/>
    <w:rsid w:val="00F53938"/>
    <w:rsid w:val="00F53F66"/>
    <w:rsid w:val="00F60480"/>
    <w:rsid w:val="00F623AC"/>
    <w:rsid w:val="00F804E0"/>
    <w:rsid w:val="00F80976"/>
    <w:rsid w:val="00F81262"/>
    <w:rsid w:val="00F81771"/>
    <w:rsid w:val="00F9163B"/>
    <w:rsid w:val="00F94CCF"/>
    <w:rsid w:val="00FA52B2"/>
    <w:rsid w:val="00FC5166"/>
    <w:rsid w:val="00FC53D5"/>
    <w:rsid w:val="00FC6664"/>
    <w:rsid w:val="00FD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D7E19B"/>
  <w15:docId w15:val="{AC4CA1ED-655B-4B83-9704-4CC53F2C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26C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52E4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F7F3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Menzionenonrisolta">
    <w:name w:val="Unresolved Mention"/>
    <w:uiPriority w:val="99"/>
    <w:semiHidden/>
    <w:unhideWhenUsed/>
    <w:rsid w:val="003347DC"/>
    <w:rPr>
      <w:color w:val="605E5C"/>
      <w:shd w:val="clear" w:color="auto" w:fill="E1DFDD"/>
    </w:rPr>
  </w:style>
  <w:style w:type="character" w:styleId="Enfasigrassetto">
    <w:name w:val="Strong"/>
    <w:uiPriority w:val="22"/>
    <w:qFormat/>
    <w:rsid w:val="0009085F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93D89"/>
  </w:style>
  <w:style w:type="character" w:styleId="Enfasicorsivo">
    <w:name w:val="Emphasis"/>
    <w:uiPriority w:val="20"/>
    <w:qFormat/>
    <w:rsid w:val="00633A04"/>
    <w:rPr>
      <w:i/>
      <w:iCs/>
    </w:rPr>
  </w:style>
  <w:style w:type="paragraph" w:customStyle="1" w:styleId="Didefault">
    <w:name w:val="Di default"/>
    <w:rsid w:val="002B344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numbering" w:customStyle="1" w:styleId="Puntielenco">
    <w:name w:val="Punti elenco"/>
    <w:rsid w:val="002B3446"/>
    <w:pPr>
      <w:numPr>
        <w:numId w:val="1"/>
      </w:numPr>
    </w:pPr>
  </w:style>
  <w:style w:type="character" w:customStyle="1" w:styleId="Nessuno">
    <w:name w:val="Nessuno"/>
    <w:rsid w:val="002B3446"/>
  </w:style>
  <w:style w:type="character" w:customStyle="1" w:styleId="Hyperlink1">
    <w:name w:val="Hyperlink.1"/>
    <w:rsid w:val="002B3446"/>
    <w:rPr>
      <w:rFonts w:ascii="Tahoma" w:eastAsia="Tahoma" w:hAnsi="Tahoma" w:cs="Tahoma"/>
      <w:outline w:val="0"/>
      <w:color w:val="0070C0"/>
      <w:u w:val="single" w:color="0070C0"/>
    </w:rPr>
  </w:style>
  <w:style w:type="character" w:customStyle="1" w:styleId="Hyperlink0">
    <w:name w:val="Hyperlink.0"/>
    <w:rsid w:val="002B3446"/>
    <w:rPr>
      <w:outline w:val="0"/>
      <w:color w:val="0000FF"/>
      <w:u w:val="single" w:color="0000FF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A549EE"/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semiHidden/>
    <w:rsid w:val="00A549EE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W12ADC02\archivi\010_CONFINDUSTRIA%20UMBRIA\Notiziario\2020\EDILIZIA\edilizia@confindustria.terni.it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SW12ADC02\archivi\010_CONFINDUSTRIA%20UMBRIA\Notiziario\2020\EDILIZIA\info@anceumbria.it%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500_Software\Procedure_associazione\MODELLI\MODELLI\Confindustria%20Umbria\NUOVA%20CARTA%20INTESTATA%202018_REV.%20SETTEMBRE%202018\Carta%20intestata%20Confindustria%20Umbria_Il%20Direttore%20Gener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Confindustria Umbria_Il Direttore Generale</Template>
  <TotalTime>36</TotalTime>
  <Pages>2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Industriali</vt:lpstr>
    </vt:vector>
  </TitlesOfParts>
  <Company>Assindustria</Company>
  <LinksUpToDate>false</LinksUpToDate>
  <CharactersWithSpaces>5762</CharactersWithSpaces>
  <SharedDoc>false</SharedDoc>
  <HLinks>
    <vt:vector size="12" baseType="variant">
      <vt:variant>
        <vt:i4>7667784</vt:i4>
      </vt:variant>
      <vt:variant>
        <vt:i4>3</vt:i4>
      </vt:variant>
      <vt:variant>
        <vt:i4>0</vt:i4>
      </vt:variant>
      <vt:variant>
        <vt:i4>5</vt:i4>
      </vt:variant>
      <vt:variant>
        <vt:lpwstr>edilizia@confindustria.terni.it</vt:lpwstr>
      </vt:variant>
      <vt:variant>
        <vt:lpwstr/>
      </vt:variant>
      <vt:variant>
        <vt:i4>2555987</vt:i4>
      </vt:variant>
      <vt:variant>
        <vt:i4>0</vt:i4>
      </vt:variant>
      <vt:variant>
        <vt:i4>0</vt:i4>
      </vt:variant>
      <vt:variant>
        <vt:i4>5</vt:i4>
      </vt:variant>
      <vt:variant>
        <vt:lpwstr>info@anceumbria.it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Industriali</dc:title>
  <dc:subject/>
  <dc:creator>Cristina Malfagia</dc:creator>
  <cp:keywords/>
  <cp:lastModifiedBy>Chiara Santilli</cp:lastModifiedBy>
  <cp:revision>16</cp:revision>
  <cp:lastPrinted>2019-02-27T17:41:00Z</cp:lastPrinted>
  <dcterms:created xsi:type="dcterms:W3CDTF">2020-08-20T07:03:00Z</dcterms:created>
  <dcterms:modified xsi:type="dcterms:W3CDTF">2020-08-28T08:07:00Z</dcterms:modified>
</cp:coreProperties>
</file>