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D217" w14:textId="673014BD" w:rsidR="00FC7629" w:rsidRDefault="00217122" w:rsidP="00C3700B">
      <w:pPr>
        <w:rPr>
          <w:rFonts w:ascii="Calibri" w:hAnsi="Calibri" w:cs="Calibri Light"/>
          <w:b/>
          <w:bCs/>
          <w:sz w:val="22"/>
          <w:szCs w:val="22"/>
        </w:rPr>
      </w:pPr>
      <w:r>
        <w:rPr>
          <w:rFonts w:ascii="Calibri" w:hAnsi="Calibri" w:cs="Calibri"/>
          <w:b/>
          <w:bCs/>
          <w:noProof/>
          <w:sz w:val="22"/>
          <w:szCs w:val="22"/>
        </w:rPr>
        <mc:AlternateContent>
          <mc:Choice Requires="wps">
            <w:drawing>
              <wp:anchor distT="0" distB="0" distL="114300" distR="114300" simplePos="0" relativeHeight="251657728" behindDoc="0" locked="0" layoutInCell="1" allowOverlap="1" wp14:anchorId="036903AB" wp14:editId="053BF6A3">
                <wp:simplePos x="0" y="0"/>
                <wp:positionH relativeFrom="column">
                  <wp:posOffset>-936625</wp:posOffset>
                </wp:positionH>
                <wp:positionV relativeFrom="paragraph">
                  <wp:posOffset>-304800</wp:posOffset>
                </wp:positionV>
                <wp:extent cx="7610475" cy="45720"/>
                <wp:effectExtent l="0" t="0" r="0" b="0"/>
                <wp:wrapNone/>
                <wp:docPr id="5" name="Segno di sott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45720"/>
                        </a:xfrm>
                        <a:prstGeom prst="mathMinus">
                          <a:avLst/>
                        </a:prstGeom>
                        <a:solidFill>
                          <a:srgbClr val="205394"/>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9DD5" id="Segno di sottrazione 5" o:spid="_x0000_s1026" style="position:absolute;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" path="m1008768,17483r5592939,l6601707,28237r-5592939,l1008768,17483xe" fillcolor="#205394" strokecolor="#385d8a" strokeweight="1pt">
                <v:path arrowok="t" o:connecttype="custom" o:connectlocs="1008768,17483;6601707,17483;6601707,28237;1008768,28237;1008768,17483" o:connectangles="0,0,0,0,0"/>
              </v:shape>
            </w:pict>
          </mc:Fallback>
        </mc:AlternateContent>
      </w:r>
      <w:r w:rsidR="004A3F64">
        <w:rPr>
          <w:rFonts w:ascii="Calibri" w:hAnsi="Calibri" w:cs="Calibri Light"/>
          <w:b/>
          <w:bCs/>
          <w:sz w:val="22"/>
          <w:szCs w:val="22"/>
        </w:rPr>
        <w:t>Imprese alimentari e MOCA: p</w:t>
      </w:r>
      <w:r w:rsidR="004D4619">
        <w:rPr>
          <w:rFonts w:ascii="Calibri" w:hAnsi="Calibri" w:cs="Calibri Light"/>
          <w:b/>
          <w:bCs/>
          <w:sz w:val="22"/>
          <w:szCs w:val="22"/>
        </w:rPr>
        <w:t>rocedura di r</w:t>
      </w:r>
      <w:r w:rsidR="007B7589" w:rsidRPr="007B7589">
        <w:rPr>
          <w:rFonts w:ascii="Calibri" w:hAnsi="Calibri" w:cs="Calibri Light"/>
          <w:b/>
          <w:bCs/>
          <w:sz w:val="22"/>
          <w:szCs w:val="22"/>
        </w:rPr>
        <w:t xml:space="preserve">egistrazione </w:t>
      </w:r>
    </w:p>
    <w:p w14:paraId="7922EE7A" w14:textId="4C23ACFD" w:rsidR="000B520B" w:rsidRDefault="000B520B" w:rsidP="00C3700B">
      <w:pPr>
        <w:rPr>
          <w:rFonts w:ascii="Calibri" w:hAnsi="Calibri" w:cs="Calibri Light"/>
          <w:b/>
          <w:bCs/>
          <w:sz w:val="22"/>
          <w:szCs w:val="22"/>
        </w:rPr>
      </w:pPr>
    </w:p>
    <w:p w14:paraId="59AD091F" w14:textId="4090EAEB" w:rsidR="004D4619" w:rsidRDefault="00532391" w:rsidP="00C3700B">
      <w:pPr>
        <w:rPr>
          <w:rFonts w:asciiTheme="minorHAnsi" w:hAnsiTheme="minorHAnsi" w:cstheme="minorHAnsi"/>
          <w:sz w:val="22"/>
          <w:szCs w:val="22"/>
        </w:rPr>
      </w:pPr>
      <w:r>
        <w:rPr>
          <w:rFonts w:asciiTheme="minorHAnsi" w:hAnsiTheme="minorHAnsi" w:cstheme="minorHAnsi"/>
          <w:sz w:val="22"/>
          <w:szCs w:val="22"/>
        </w:rPr>
        <w:t xml:space="preserve">Disposizioni previste dalla </w:t>
      </w:r>
      <w:r w:rsidRPr="007B7589">
        <w:rPr>
          <w:rFonts w:asciiTheme="minorHAnsi" w:hAnsiTheme="minorHAnsi" w:cstheme="minorHAnsi"/>
          <w:sz w:val="22"/>
          <w:szCs w:val="22"/>
          <w:shd w:val="clear" w:color="auto" w:fill="FFFFFF"/>
        </w:rPr>
        <w:t>Determinazione Dirigenziale</w:t>
      </w:r>
      <w:r>
        <w:rPr>
          <w:rFonts w:asciiTheme="minorHAnsi" w:hAnsiTheme="minorHAnsi" w:cstheme="minorHAnsi"/>
          <w:sz w:val="22"/>
          <w:szCs w:val="22"/>
          <w:shd w:val="clear" w:color="auto" w:fill="FFFFFF"/>
        </w:rPr>
        <w:t xml:space="preserve"> 7320/2020</w:t>
      </w:r>
    </w:p>
    <w:p w14:paraId="11270A18" w14:textId="77777777" w:rsidR="00532391" w:rsidRPr="007B7589" w:rsidRDefault="00532391" w:rsidP="00C3700B">
      <w:pPr>
        <w:rPr>
          <w:rFonts w:asciiTheme="minorHAnsi" w:hAnsiTheme="minorHAnsi" w:cstheme="minorHAnsi"/>
          <w:b/>
          <w:bCs/>
          <w:sz w:val="22"/>
          <w:szCs w:val="22"/>
        </w:rPr>
      </w:pPr>
    </w:p>
    <w:p w14:paraId="5965E281" w14:textId="7C92F071" w:rsidR="007B7589" w:rsidRPr="007B7589" w:rsidRDefault="007B7589" w:rsidP="007B7589">
      <w:pPr>
        <w:rPr>
          <w:rFonts w:asciiTheme="minorHAnsi" w:hAnsiTheme="minorHAnsi" w:cstheme="minorHAnsi"/>
          <w:sz w:val="22"/>
          <w:szCs w:val="22"/>
        </w:rPr>
      </w:pPr>
      <w:r w:rsidRPr="007B7589">
        <w:rPr>
          <w:rFonts w:asciiTheme="minorHAnsi" w:hAnsiTheme="minorHAnsi" w:cstheme="minorHAnsi"/>
          <w:sz w:val="22"/>
          <w:szCs w:val="22"/>
          <w:shd w:val="clear" w:color="auto" w:fill="FFFFFF"/>
        </w:rPr>
        <w:t xml:space="preserve">È stata approvata con Determinazione Dirigenziale n. 7320 del 18 agosto </w:t>
      </w:r>
      <w:r w:rsidR="00532391">
        <w:rPr>
          <w:rFonts w:asciiTheme="minorHAnsi" w:hAnsiTheme="minorHAnsi" w:cstheme="minorHAnsi"/>
          <w:sz w:val="22"/>
          <w:szCs w:val="22"/>
          <w:shd w:val="clear" w:color="auto" w:fill="FFFFFF"/>
        </w:rPr>
        <w:t>2020</w:t>
      </w:r>
      <w:r w:rsidRPr="007B7589">
        <w:rPr>
          <w:rFonts w:asciiTheme="minorHAnsi" w:hAnsiTheme="minorHAnsi" w:cstheme="minorHAnsi"/>
          <w:sz w:val="22"/>
          <w:szCs w:val="22"/>
          <w:shd w:val="clear" w:color="auto" w:fill="FFFFFF"/>
        </w:rPr>
        <w:t xml:space="preserve"> (BUR n. 74 del 23</w:t>
      </w:r>
      <w:r w:rsidR="00532391">
        <w:rPr>
          <w:rFonts w:asciiTheme="minorHAnsi" w:hAnsiTheme="minorHAnsi" w:cstheme="minorHAnsi"/>
          <w:sz w:val="22"/>
          <w:szCs w:val="22"/>
          <w:shd w:val="clear" w:color="auto" w:fill="FFFFFF"/>
        </w:rPr>
        <w:t xml:space="preserve"> settembre </w:t>
      </w:r>
      <w:r w:rsidRPr="007B7589">
        <w:rPr>
          <w:rFonts w:asciiTheme="minorHAnsi" w:hAnsiTheme="minorHAnsi" w:cstheme="minorHAnsi"/>
          <w:sz w:val="22"/>
          <w:szCs w:val="22"/>
          <w:shd w:val="clear" w:color="auto" w:fill="FFFFFF"/>
        </w:rPr>
        <w:t xml:space="preserve">2020) la procedura di registrazione per le imprese alimentari e per quelle dei materiali ed oggetti destinati a venire a contatto con alimenti (MOCA). </w:t>
      </w:r>
    </w:p>
    <w:p w14:paraId="1DCA7A75" w14:textId="77777777" w:rsidR="007B7589" w:rsidRDefault="007B7589" w:rsidP="007B7589">
      <w:pPr>
        <w:autoSpaceDE w:val="0"/>
        <w:autoSpaceDN w:val="0"/>
        <w:adjustRightInd w:val="0"/>
        <w:rPr>
          <w:rFonts w:asciiTheme="minorHAnsi" w:hAnsiTheme="minorHAnsi" w:cstheme="minorHAnsi"/>
          <w:sz w:val="22"/>
          <w:szCs w:val="22"/>
        </w:rPr>
      </w:pPr>
    </w:p>
    <w:p w14:paraId="34AF5584" w14:textId="40AF3D2B"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Il provvedimento prevede l’obbligo di “</w:t>
      </w:r>
      <w:r w:rsidRPr="007B7589">
        <w:rPr>
          <w:rFonts w:asciiTheme="minorHAnsi" w:hAnsiTheme="minorHAnsi" w:cstheme="minorHAnsi"/>
          <w:b/>
          <w:bCs/>
          <w:sz w:val="22"/>
          <w:szCs w:val="22"/>
        </w:rPr>
        <w:t>registrazione</w:t>
      </w:r>
      <w:r w:rsidRPr="007B7589">
        <w:rPr>
          <w:rFonts w:asciiTheme="minorHAnsi" w:hAnsiTheme="minorHAnsi" w:cstheme="minorHAnsi"/>
          <w:sz w:val="22"/>
          <w:szCs w:val="22"/>
        </w:rPr>
        <w:t>” per:</w:t>
      </w:r>
    </w:p>
    <w:p w14:paraId="45707CF3" w14:textId="59D032C6"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a</w:t>
      </w:r>
      <w:r>
        <w:rPr>
          <w:rFonts w:asciiTheme="minorHAnsi" w:hAnsiTheme="minorHAnsi" w:cstheme="minorHAnsi"/>
          <w:b/>
          <w:bCs/>
          <w:sz w:val="22"/>
          <w:szCs w:val="22"/>
        </w:rPr>
        <w:t>)</w:t>
      </w:r>
      <w:r w:rsidRPr="007B7589">
        <w:rPr>
          <w:rFonts w:asciiTheme="minorHAnsi" w:hAnsiTheme="minorHAnsi" w:cstheme="minorHAnsi"/>
          <w:sz w:val="22"/>
          <w:szCs w:val="22"/>
        </w:rPr>
        <w:t xml:space="preserve"> tutti gli stabilimenti del settore alimentare che eseguono una qualsiasi delle fasi di produzione,</w:t>
      </w:r>
    </w:p>
    <w:p w14:paraId="07764182"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trasformazione, trasporto, magazzinaggio, somministrazione e vendita, ad eccezione degli</w:t>
      </w:r>
    </w:p>
    <w:p w14:paraId="5EBBD9CA"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stabilimenti soggetti a riconoscimento secondo quanto previsto dal regolamento (CE)</w:t>
      </w:r>
    </w:p>
    <w:p w14:paraId="679EF1BF"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n.852/2004;</w:t>
      </w:r>
    </w:p>
    <w:p w14:paraId="57AD24A5" w14:textId="537F0A6C"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b</w:t>
      </w:r>
      <w:r>
        <w:rPr>
          <w:rFonts w:asciiTheme="minorHAnsi" w:hAnsiTheme="minorHAnsi" w:cstheme="minorHAnsi"/>
          <w:b/>
          <w:bCs/>
          <w:sz w:val="22"/>
          <w:szCs w:val="22"/>
        </w:rPr>
        <w:t>)</w:t>
      </w:r>
      <w:r w:rsidRPr="007B7589">
        <w:rPr>
          <w:rFonts w:asciiTheme="minorHAnsi" w:hAnsiTheme="minorHAnsi" w:cstheme="minorHAnsi"/>
          <w:sz w:val="22"/>
          <w:szCs w:val="22"/>
        </w:rPr>
        <w:t xml:space="preserve"> le attività che trattano prodotti di origine animale alle quali non si applica il regolamento (CE)</w:t>
      </w:r>
    </w:p>
    <w:p w14:paraId="2863BC3D"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n.853/2004;</w:t>
      </w:r>
    </w:p>
    <w:p w14:paraId="15393206" w14:textId="164EA455"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c</w:t>
      </w:r>
      <w:r w:rsidRPr="007B7589">
        <w:rPr>
          <w:rFonts w:asciiTheme="minorHAnsi" w:hAnsiTheme="minorHAnsi" w:cstheme="minorHAnsi"/>
          <w:b/>
          <w:bCs/>
          <w:sz w:val="22"/>
          <w:szCs w:val="22"/>
        </w:rPr>
        <w:t>)</w:t>
      </w:r>
      <w:r w:rsidRPr="007B7589">
        <w:rPr>
          <w:rFonts w:asciiTheme="minorHAnsi" w:hAnsiTheme="minorHAnsi" w:cstheme="minorHAnsi"/>
          <w:sz w:val="22"/>
          <w:szCs w:val="22"/>
        </w:rPr>
        <w:t xml:space="preserve"> la cessione di alimenti di origine animale effettuata unicamente da un laboratorio annesso ad</w:t>
      </w:r>
    </w:p>
    <w:p w14:paraId="4E40DD0E"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un esercizio di commercio al dettaglio ad altro esercizio di commercio al dettaglio e/o di</w:t>
      </w:r>
    </w:p>
    <w:p w14:paraId="296D49DD"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somministrazione, posto nell’ambito della stessa provincia e province contermini, a condizione</w:t>
      </w:r>
    </w:p>
    <w:p w14:paraId="60B76CB7"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che l’attività in questione non rappresenti l’attività prevalente dell’impresa alimentare, in termini</w:t>
      </w:r>
    </w:p>
    <w:p w14:paraId="77D2829E" w14:textId="77777777"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sz w:val="22"/>
          <w:szCs w:val="22"/>
        </w:rPr>
        <w:t>di volumi di prodotto riferiti ad un valore inferiore al 50% del prodotto lavorato/anno;</w:t>
      </w:r>
    </w:p>
    <w:p w14:paraId="71E6D7C0" w14:textId="3C969CD2"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d</w:t>
      </w:r>
      <w:r w:rsidRPr="007B7589">
        <w:rPr>
          <w:rFonts w:asciiTheme="minorHAnsi" w:hAnsiTheme="minorHAnsi" w:cstheme="minorHAnsi"/>
          <w:b/>
          <w:bCs/>
          <w:sz w:val="22"/>
          <w:szCs w:val="22"/>
        </w:rPr>
        <w:t>)</w:t>
      </w:r>
      <w:r w:rsidRPr="007B7589">
        <w:rPr>
          <w:rFonts w:asciiTheme="minorHAnsi" w:hAnsiTheme="minorHAnsi" w:cstheme="minorHAnsi"/>
          <w:sz w:val="22"/>
          <w:szCs w:val="22"/>
        </w:rPr>
        <w:t xml:space="preserve"> l’attività effettuata da parte di intermediari, comportante la compravendita (con o senza raccolta</w:t>
      </w:r>
      <w:r>
        <w:rPr>
          <w:rFonts w:asciiTheme="minorHAnsi" w:hAnsiTheme="minorHAnsi" w:cstheme="minorHAnsi"/>
          <w:sz w:val="22"/>
          <w:szCs w:val="22"/>
        </w:rPr>
        <w:t xml:space="preserve"> </w:t>
      </w:r>
      <w:r w:rsidRPr="007B7589">
        <w:rPr>
          <w:rFonts w:asciiTheme="minorHAnsi" w:hAnsiTheme="minorHAnsi" w:cstheme="minorHAnsi"/>
          <w:sz w:val="22"/>
          <w:szCs w:val="22"/>
        </w:rPr>
        <w:t>e/o trasporto di alimenti senza ulteriore trattamento/trasformazione degli stessi), con o senza</w:t>
      </w:r>
      <w:r>
        <w:rPr>
          <w:rFonts w:asciiTheme="minorHAnsi" w:hAnsiTheme="minorHAnsi" w:cstheme="minorHAnsi"/>
          <w:sz w:val="22"/>
          <w:szCs w:val="22"/>
        </w:rPr>
        <w:t xml:space="preserve"> </w:t>
      </w:r>
      <w:r w:rsidRPr="007B7589">
        <w:rPr>
          <w:rFonts w:asciiTheme="minorHAnsi" w:hAnsiTheme="minorHAnsi" w:cstheme="minorHAnsi"/>
          <w:sz w:val="22"/>
          <w:szCs w:val="22"/>
        </w:rPr>
        <w:t>sede di stoccaggio;</w:t>
      </w:r>
    </w:p>
    <w:p w14:paraId="3FEFE2E7" w14:textId="329F2DDF"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e</w:t>
      </w:r>
      <w:r w:rsidRPr="007B7589">
        <w:rPr>
          <w:rFonts w:asciiTheme="minorHAnsi" w:hAnsiTheme="minorHAnsi" w:cstheme="minorHAnsi"/>
          <w:b/>
          <w:bCs/>
          <w:sz w:val="22"/>
          <w:szCs w:val="22"/>
        </w:rPr>
        <w:t>)</w:t>
      </w:r>
      <w:r w:rsidRPr="007B7589">
        <w:rPr>
          <w:rFonts w:asciiTheme="minorHAnsi" w:hAnsiTheme="minorHAnsi" w:cstheme="minorHAnsi"/>
          <w:sz w:val="22"/>
          <w:szCs w:val="22"/>
        </w:rPr>
        <w:t xml:space="preserve"> farmacie, parafarmacie, erboristerie;</w:t>
      </w:r>
    </w:p>
    <w:p w14:paraId="70E07F06" w14:textId="7156E828" w:rsidR="007B7589" w:rsidRPr="007B7589" w:rsidRDefault="007B7589" w:rsidP="007B7589">
      <w:pPr>
        <w:autoSpaceDE w:val="0"/>
        <w:autoSpaceDN w:val="0"/>
        <w:adjustRightInd w:val="0"/>
        <w:rPr>
          <w:rFonts w:asciiTheme="minorHAnsi" w:hAnsiTheme="minorHAnsi" w:cstheme="minorHAnsi"/>
          <w:sz w:val="22"/>
          <w:szCs w:val="22"/>
        </w:rPr>
      </w:pPr>
      <w:r w:rsidRPr="007B7589">
        <w:rPr>
          <w:rFonts w:asciiTheme="minorHAnsi" w:hAnsiTheme="minorHAnsi" w:cstheme="minorHAnsi"/>
          <w:b/>
          <w:bCs/>
          <w:sz w:val="22"/>
          <w:szCs w:val="22"/>
        </w:rPr>
        <w:t>f</w:t>
      </w:r>
      <w:r w:rsidRPr="007B7589">
        <w:rPr>
          <w:rFonts w:asciiTheme="minorHAnsi" w:hAnsiTheme="minorHAnsi" w:cstheme="minorHAnsi"/>
          <w:b/>
          <w:bCs/>
          <w:sz w:val="22"/>
          <w:szCs w:val="22"/>
        </w:rPr>
        <w:t>)</w:t>
      </w:r>
      <w:r>
        <w:rPr>
          <w:rFonts w:asciiTheme="minorHAnsi" w:hAnsiTheme="minorHAnsi" w:cstheme="minorHAnsi"/>
          <w:sz w:val="22"/>
          <w:szCs w:val="22"/>
        </w:rPr>
        <w:t xml:space="preserve"> </w:t>
      </w:r>
      <w:r w:rsidRPr="007B7589">
        <w:rPr>
          <w:rFonts w:asciiTheme="minorHAnsi" w:hAnsiTheme="minorHAnsi" w:cstheme="minorHAnsi"/>
          <w:sz w:val="22"/>
          <w:szCs w:val="22"/>
        </w:rPr>
        <w:t>l’attività di vendita di alimenti per corrispondenza/internet/ forme speciali di vendita al dettaglio;</w:t>
      </w:r>
    </w:p>
    <w:p w14:paraId="6F75F17A" w14:textId="3FD95B44" w:rsidR="007B7589" w:rsidRDefault="007B7589" w:rsidP="007B7589">
      <w:pPr>
        <w:rPr>
          <w:rFonts w:asciiTheme="minorHAnsi" w:hAnsiTheme="minorHAnsi" w:cstheme="minorHAnsi"/>
          <w:sz w:val="22"/>
          <w:szCs w:val="22"/>
        </w:rPr>
      </w:pPr>
      <w:r w:rsidRPr="007B7589">
        <w:rPr>
          <w:rFonts w:asciiTheme="minorHAnsi" w:hAnsiTheme="minorHAnsi" w:cstheme="minorHAnsi"/>
          <w:b/>
          <w:bCs/>
          <w:sz w:val="22"/>
          <w:szCs w:val="22"/>
        </w:rPr>
        <w:t>g</w:t>
      </w:r>
      <w:r w:rsidRPr="007B7589">
        <w:rPr>
          <w:rFonts w:asciiTheme="minorHAnsi" w:hAnsiTheme="minorHAnsi" w:cstheme="minorHAnsi"/>
          <w:b/>
          <w:bCs/>
          <w:sz w:val="22"/>
          <w:szCs w:val="22"/>
        </w:rPr>
        <w:t>)</w:t>
      </w:r>
      <w:r>
        <w:rPr>
          <w:rFonts w:asciiTheme="minorHAnsi" w:hAnsiTheme="minorHAnsi" w:cstheme="minorHAnsi"/>
          <w:sz w:val="22"/>
          <w:szCs w:val="22"/>
        </w:rPr>
        <w:t xml:space="preserve"> </w:t>
      </w:r>
      <w:r w:rsidRPr="007B7589">
        <w:rPr>
          <w:rFonts w:asciiTheme="minorHAnsi" w:hAnsiTheme="minorHAnsi" w:cstheme="minorHAnsi"/>
          <w:sz w:val="22"/>
          <w:szCs w:val="22"/>
        </w:rPr>
        <w:t>operatori del settore dei MOCA.</w:t>
      </w:r>
    </w:p>
    <w:p w14:paraId="108F2456" w14:textId="77777777" w:rsidR="007B7589" w:rsidRPr="007B7589" w:rsidRDefault="007B7589" w:rsidP="007B7589">
      <w:pPr>
        <w:rPr>
          <w:rFonts w:asciiTheme="minorHAnsi" w:hAnsiTheme="minorHAnsi" w:cstheme="minorHAnsi"/>
          <w:sz w:val="22"/>
          <w:szCs w:val="22"/>
        </w:rPr>
      </w:pPr>
    </w:p>
    <w:p w14:paraId="7280E9B3" w14:textId="4D038805"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Gli stabilimenti e le attività citate</w:t>
      </w:r>
      <w:r>
        <w:rPr>
          <w:rFonts w:asciiTheme="minorHAnsi" w:hAnsiTheme="minorHAnsi" w:cstheme="minorHAnsi"/>
          <w:sz w:val="22"/>
          <w:szCs w:val="22"/>
          <w:shd w:val="clear" w:color="auto" w:fill="FFFFFF"/>
        </w:rPr>
        <w:t xml:space="preserve"> </w:t>
      </w:r>
      <w:r w:rsidRPr="007B7589">
        <w:rPr>
          <w:rFonts w:asciiTheme="minorHAnsi" w:hAnsiTheme="minorHAnsi" w:cstheme="minorHAnsi"/>
          <w:sz w:val="22"/>
          <w:szCs w:val="22"/>
          <w:shd w:val="clear" w:color="auto" w:fill="FFFFFF"/>
        </w:rPr>
        <w:t>che siano già in possesso di autorizzazione</w:t>
      </w:r>
      <w:r>
        <w:rPr>
          <w:rFonts w:asciiTheme="minorHAnsi" w:hAnsiTheme="minorHAnsi" w:cstheme="minorHAnsi"/>
          <w:sz w:val="22"/>
          <w:szCs w:val="22"/>
          <w:shd w:val="clear" w:color="auto" w:fill="FFFFFF"/>
        </w:rPr>
        <w:t xml:space="preserve"> </w:t>
      </w:r>
      <w:r w:rsidRPr="007B7589">
        <w:rPr>
          <w:rFonts w:asciiTheme="minorHAnsi" w:hAnsiTheme="minorHAnsi" w:cstheme="minorHAnsi"/>
          <w:sz w:val="22"/>
          <w:szCs w:val="22"/>
          <w:shd w:val="clear" w:color="auto" w:fill="FFFFFF"/>
        </w:rPr>
        <w:t>sanitaria, nulla osta, registrazione o altro titolo assimilabile, rilasciati in conformità ad altre norme</w:t>
      </w:r>
      <w:r>
        <w:rPr>
          <w:rFonts w:asciiTheme="minorHAnsi" w:hAnsiTheme="minorHAnsi" w:cstheme="minorHAnsi"/>
          <w:sz w:val="22"/>
          <w:szCs w:val="22"/>
          <w:shd w:val="clear" w:color="auto" w:fill="FFFFFF"/>
        </w:rPr>
        <w:t xml:space="preserve"> </w:t>
      </w:r>
      <w:r w:rsidRPr="007B7589">
        <w:rPr>
          <w:rFonts w:asciiTheme="minorHAnsi" w:hAnsiTheme="minorHAnsi" w:cstheme="minorHAnsi"/>
          <w:sz w:val="22"/>
          <w:szCs w:val="22"/>
          <w:shd w:val="clear" w:color="auto" w:fill="FFFFFF"/>
        </w:rPr>
        <w:t>specifiche e di settore in materia di alimenti, bevande</w:t>
      </w:r>
      <w:r>
        <w:rPr>
          <w:rFonts w:asciiTheme="minorHAnsi" w:hAnsiTheme="minorHAnsi" w:cstheme="minorHAnsi"/>
          <w:sz w:val="22"/>
          <w:szCs w:val="22"/>
          <w:shd w:val="clear" w:color="auto" w:fill="FFFFFF"/>
        </w:rPr>
        <w:t xml:space="preserve"> </w:t>
      </w:r>
      <w:r w:rsidRPr="007B7589">
        <w:rPr>
          <w:rFonts w:asciiTheme="minorHAnsi" w:hAnsiTheme="minorHAnsi" w:cstheme="minorHAnsi"/>
          <w:sz w:val="22"/>
          <w:szCs w:val="22"/>
          <w:shd w:val="clear" w:color="auto" w:fill="FFFFFF"/>
        </w:rPr>
        <w:t xml:space="preserve">e materiali a contatto, </w:t>
      </w:r>
      <w:r w:rsidRPr="007B7589">
        <w:rPr>
          <w:rFonts w:asciiTheme="minorHAnsi" w:hAnsiTheme="minorHAnsi" w:cstheme="minorHAnsi"/>
          <w:b/>
          <w:bCs/>
          <w:sz w:val="22"/>
          <w:szCs w:val="22"/>
          <w:shd w:val="clear" w:color="auto" w:fill="FFFFFF"/>
        </w:rPr>
        <w:t>non sono soggette a</w:t>
      </w:r>
    </w:p>
    <w:p w14:paraId="56927109" w14:textId="77777777"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b/>
          <w:bCs/>
          <w:sz w:val="22"/>
          <w:szCs w:val="22"/>
          <w:shd w:val="clear" w:color="auto" w:fill="FFFFFF"/>
        </w:rPr>
        <w:t>nuova registrazione</w:t>
      </w:r>
      <w:r w:rsidRPr="007B7589">
        <w:rPr>
          <w:rFonts w:asciiTheme="minorHAnsi" w:hAnsiTheme="minorHAnsi" w:cstheme="minorHAnsi"/>
          <w:sz w:val="22"/>
          <w:szCs w:val="22"/>
          <w:shd w:val="clear" w:color="auto" w:fill="FFFFFF"/>
        </w:rPr>
        <w:t>.</w:t>
      </w:r>
    </w:p>
    <w:p w14:paraId="53708D36" w14:textId="77777777" w:rsidR="007B7589" w:rsidRDefault="007B7589" w:rsidP="007B7589">
      <w:pPr>
        <w:rPr>
          <w:rFonts w:asciiTheme="minorHAnsi" w:hAnsiTheme="minorHAnsi" w:cstheme="minorHAnsi"/>
          <w:sz w:val="22"/>
          <w:szCs w:val="22"/>
          <w:shd w:val="clear" w:color="auto" w:fill="FFFFFF"/>
        </w:rPr>
      </w:pPr>
    </w:p>
    <w:p w14:paraId="0341032E" w14:textId="4C262F13"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Per tali stabilimenti, ai fini dell’anagrafe delle registrazioni, i Dipartimenti di Prevenzione delle Az</w:t>
      </w:r>
      <w:r>
        <w:rPr>
          <w:rFonts w:asciiTheme="minorHAnsi" w:hAnsiTheme="minorHAnsi" w:cstheme="minorHAnsi"/>
          <w:sz w:val="22"/>
          <w:szCs w:val="22"/>
          <w:shd w:val="clear" w:color="auto" w:fill="FFFFFF"/>
        </w:rPr>
        <w:t xml:space="preserve">iende </w:t>
      </w:r>
      <w:r w:rsidRPr="007B7589">
        <w:rPr>
          <w:rFonts w:asciiTheme="minorHAnsi" w:hAnsiTheme="minorHAnsi" w:cstheme="minorHAnsi"/>
          <w:sz w:val="22"/>
          <w:szCs w:val="22"/>
          <w:shd w:val="clear" w:color="auto" w:fill="FFFFFF"/>
        </w:rPr>
        <w:t>USL (DIP) sono tenuti ad utilizzare i dati già presenti presso i propri archivi o in altri sistemi</w:t>
      </w:r>
      <w:r>
        <w:rPr>
          <w:rFonts w:asciiTheme="minorHAnsi" w:hAnsiTheme="minorHAnsi" w:cstheme="minorHAnsi"/>
          <w:sz w:val="22"/>
          <w:szCs w:val="22"/>
          <w:shd w:val="clear" w:color="auto" w:fill="FFFFFF"/>
        </w:rPr>
        <w:t xml:space="preserve"> </w:t>
      </w:r>
      <w:r w:rsidRPr="007B7589">
        <w:rPr>
          <w:rFonts w:asciiTheme="minorHAnsi" w:hAnsiTheme="minorHAnsi" w:cstheme="minorHAnsi"/>
          <w:sz w:val="22"/>
          <w:szCs w:val="22"/>
          <w:shd w:val="clear" w:color="auto" w:fill="FFFFFF"/>
        </w:rPr>
        <w:t>informativi.</w:t>
      </w:r>
    </w:p>
    <w:p w14:paraId="516F6AC1" w14:textId="77777777" w:rsidR="007B7589" w:rsidRDefault="007B7589" w:rsidP="007B7589">
      <w:pPr>
        <w:rPr>
          <w:rFonts w:asciiTheme="minorHAnsi" w:hAnsiTheme="minorHAnsi" w:cstheme="minorHAnsi"/>
          <w:sz w:val="22"/>
          <w:szCs w:val="22"/>
          <w:shd w:val="clear" w:color="auto" w:fill="FFFFFF"/>
        </w:rPr>
      </w:pPr>
    </w:p>
    <w:p w14:paraId="7023C0B8" w14:textId="6FE8CF8E"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In tali casi una nuova procedura di registrazione dovrà essere avviata solo nel caso di:</w:t>
      </w:r>
    </w:p>
    <w:p w14:paraId="26A537DA" w14:textId="73DF72BE" w:rsidR="007B7589" w:rsidRPr="007B7589" w:rsidRDefault="007B7589" w:rsidP="007B7589">
      <w:pPr>
        <w:pStyle w:val="Paragrafoelenco"/>
        <w:numPr>
          <w:ilvl w:val="0"/>
          <w:numId w:val="31"/>
        </w:numPr>
        <w:spacing w:after="0" w:line="240" w:lineRule="auto"/>
        <w:rPr>
          <w:rFonts w:asciiTheme="minorHAnsi" w:eastAsia="Times New Roman" w:hAnsiTheme="minorHAnsi" w:cstheme="minorHAnsi"/>
          <w:shd w:val="clear" w:color="auto" w:fill="FFFFFF"/>
          <w:lang w:eastAsia="it-IT"/>
        </w:rPr>
      </w:pPr>
      <w:r>
        <w:rPr>
          <w:rFonts w:asciiTheme="minorHAnsi" w:eastAsia="Times New Roman" w:hAnsiTheme="minorHAnsi" w:cstheme="minorHAnsi"/>
          <w:shd w:val="clear" w:color="auto" w:fill="FFFFFF"/>
          <w:lang w:eastAsia="it-IT"/>
        </w:rPr>
        <w:t>s</w:t>
      </w:r>
      <w:r w:rsidRPr="007B7589">
        <w:rPr>
          <w:rFonts w:asciiTheme="minorHAnsi" w:eastAsia="Times New Roman" w:hAnsiTheme="minorHAnsi" w:cstheme="minorHAnsi"/>
          <w:shd w:val="clear" w:color="auto" w:fill="FFFFFF"/>
          <w:lang w:eastAsia="it-IT"/>
        </w:rPr>
        <w:t>ubingresso</w:t>
      </w:r>
    </w:p>
    <w:p w14:paraId="2B5C6B0E" w14:textId="6D4018C9" w:rsidR="007B7589" w:rsidRPr="007B7589" w:rsidRDefault="007B7589" w:rsidP="007B7589">
      <w:pPr>
        <w:pStyle w:val="Paragrafoelenco"/>
        <w:numPr>
          <w:ilvl w:val="0"/>
          <w:numId w:val="31"/>
        </w:numPr>
        <w:spacing w:after="0" w:line="240" w:lineRule="auto"/>
        <w:rPr>
          <w:rFonts w:asciiTheme="minorHAnsi" w:eastAsia="Times New Roman" w:hAnsiTheme="minorHAnsi" w:cstheme="minorHAnsi"/>
          <w:shd w:val="clear" w:color="auto" w:fill="FFFFFF"/>
          <w:lang w:eastAsia="it-IT"/>
        </w:rPr>
      </w:pPr>
      <w:r>
        <w:rPr>
          <w:rFonts w:asciiTheme="minorHAnsi" w:eastAsia="Times New Roman" w:hAnsiTheme="minorHAnsi" w:cstheme="minorHAnsi"/>
          <w:shd w:val="clear" w:color="auto" w:fill="FFFFFF"/>
          <w:lang w:eastAsia="it-IT"/>
        </w:rPr>
        <w:t>m</w:t>
      </w:r>
      <w:r w:rsidRPr="007B7589">
        <w:rPr>
          <w:rFonts w:asciiTheme="minorHAnsi" w:eastAsia="Times New Roman" w:hAnsiTheme="minorHAnsi" w:cstheme="minorHAnsi"/>
          <w:shd w:val="clear" w:color="auto" w:fill="FFFFFF"/>
          <w:lang w:eastAsia="it-IT"/>
        </w:rPr>
        <w:t>odifica della tipologia di attività</w:t>
      </w:r>
      <w:r>
        <w:rPr>
          <w:rFonts w:asciiTheme="minorHAnsi" w:eastAsia="Times New Roman" w:hAnsiTheme="minorHAnsi" w:cstheme="minorHAnsi"/>
          <w:shd w:val="clear" w:color="auto" w:fill="FFFFFF"/>
          <w:lang w:eastAsia="it-IT"/>
        </w:rPr>
        <w:t>.</w:t>
      </w:r>
    </w:p>
    <w:p w14:paraId="49C031B7" w14:textId="77777777" w:rsidR="007B7589" w:rsidRDefault="007B7589" w:rsidP="007B7589">
      <w:pPr>
        <w:rPr>
          <w:rFonts w:asciiTheme="minorHAnsi" w:hAnsiTheme="minorHAnsi" w:cstheme="minorHAnsi"/>
          <w:sz w:val="22"/>
          <w:szCs w:val="22"/>
          <w:shd w:val="clear" w:color="auto" w:fill="FFFFFF"/>
        </w:rPr>
      </w:pPr>
    </w:p>
    <w:p w14:paraId="1383CF28" w14:textId="4F03D905" w:rsid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Nella Determinazione sono indicati degli adempimenti specifici per alcuni settori produttivi, tra cui il </w:t>
      </w:r>
      <w:r w:rsidRPr="007B7589">
        <w:rPr>
          <w:rFonts w:asciiTheme="minorHAnsi" w:hAnsiTheme="minorHAnsi" w:cstheme="minorHAnsi"/>
          <w:b/>
          <w:bCs/>
          <w:sz w:val="22"/>
          <w:szCs w:val="22"/>
          <w:shd w:val="clear" w:color="auto" w:fill="FFFFFF"/>
        </w:rPr>
        <w:t>trasporto</w:t>
      </w:r>
      <w:r w:rsidRPr="007B7589">
        <w:rPr>
          <w:rFonts w:asciiTheme="minorHAnsi" w:hAnsiTheme="minorHAnsi" w:cstheme="minorHAnsi"/>
          <w:sz w:val="22"/>
          <w:szCs w:val="22"/>
          <w:shd w:val="clear" w:color="auto" w:fill="FFFFFF"/>
        </w:rPr>
        <w:t xml:space="preserve"> (punto 4.8).</w:t>
      </w:r>
    </w:p>
    <w:p w14:paraId="61A97459" w14:textId="77777777" w:rsidR="007B7589" w:rsidRPr="007B7589" w:rsidRDefault="007B7589" w:rsidP="007B7589">
      <w:pPr>
        <w:rPr>
          <w:rFonts w:asciiTheme="minorHAnsi" w:hAnsiTheme="minorHAnsi" w:cstheme="minorHAnsi"/>
          <w:sz w:val="22"/>
          <w:szCs w:val="22"/>
          <w:shd w:val="clear" w:color="auto" w:fill="FFFFFF"/>
        </w:rPr>
      </w:pPr>
    </w:p>
    <w:p w14:paraId="42AEE78E" w14:textId="2C0F744B"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Riguardo alla produzione </w:t>
      </w:r>
      <w:proofErr w:type="gramStart"/>
      <w:r w:rsidRPr="007B7589">
        <w:rPr>
          <w:rFonts w:asciiTheme="minorHAnsi" w:hAnsiTheme="minorHAnsi" w:cstheme="minorHAnsi"/>
          <w:sz w:val="22"/>
          <w:szCs w:val="22"/>
          <w:shd w:val="clear" w:color="auto" w:fill="FFFFFF"/>
        </w:rPr>
        <w:t>post primaria</w:t>
      </w:r>
      <w:proofErr w:type="gramEnd"/>
      <w:r w:rsidRPr="007B7589">
        <w:rPr>
          <w:rFonts w:asciiTheme="minorHAnsi" w:hAnsiTheme="minorHAnsi" w:cstheme="minorHAnsi"/>
          <w:sz w:val="22"/>
          <w:szCs w:val="22"/>
          <w:shd w:val="clear" w:color="auto" w:fill="FFFFFF"/>
        </w:rPr>
        <w:t xml:space="preserve"> (punto 5), vengono specificate procedure per</w:t>
      </w:r>
      <w:r>
        <w:rPr>
          <w:rFonts w:asciiTheme="minorHAnsi" w:hAnsiTheme="minorHAnsi" w:cstheme="minorHAnsi"/>
          <w:sz w:val="22"/>
          <w:szCs w:val="22"/>
          <w:shd w:val="clear" w:color="auto" w:fill="FFFFFF"/>
        </w:rPr>
        <w:t>:</w:t>
      </w:r>
      <w:r w:rsidRPr="007B7589">
        <w:rPr>
          <w:rFonts w:asciiTheme="minorHAnsi" w:hAnsiTheme="minorHAnsi" w:cstheme="minorHAnsi"/>
          <w:sz w:val="22"/>
          <w:szCs w:val="22"/>
          <w:shd w:val="clear" w:color="auto" w:fill="FFFFFF"/>
        </w:rPr>
        <w:t xml:space="preserve"> </w:t>
      </w:r>
    </w:p>
    <w:p w14:paraId="4AF60B00" w14:textId="46B86264" w:rsidR="007B7589" w:rsidRPr="007B7589" w:rsidRDefault="007B7589" w:rsidP="007B7589">
      <w:pPr>
        <w:pStyle w:val="Paragrafoelenco"/>
        <w:numPr>
          <w:ilvl w:val="0"/>
          <w:numId w:val="32"/>
        </w:numPr>
        <w:spacing w:after="0" w:line="240" w:lineRule="auto"/>
        <w:rPr>
          <w:rFonts w:asciiTheme="minorHAnsi" w:eastAsia="Times New Roman" w:hAnsiTheme="minorHAnsi" w:cstheme="minorHAnsi"/>
          <w:b/>
          <w:bCs/>
          <w:shd w:val="clear" w:color="auto" w:fill="FFFFFF"/>
          <w:lang w:eastAsia="it-IT"/>
        </w:rPr>
      </w:pPr>
      <w:r w:rsidRPr="007B7589">
        <w:rPr>
          <w:rFonts w:asciiTheme="minorHAnsi" w:eastAsia="Times New Roman" w:hAnsiTheme="minorHAnsi" w:cstheme="minorHAnsi"/>
          <w:b/>
          <w:bCs/>
          <w:shd w:val="clear" w:color="auto" w:fill="FFFFFF"/>
          <w:lang w:eastAsia="it-IT"/>
        </w:rPr>
        <w:t>produzione, trasformazione, confezionamento, distribuzione di vegetali, prodotti da</w:t>
      </w:r>
    </w:p>
    <w:p w14:paraId="5C10E5BA" w14:textId="2ECDE679" w:rsidR="007B7589" w:rsidRPr="007B7589" w:rsidRDefault="007B7589" w:rsidP="007B7589">
      <w:pPr>
        <w:ind w:firstLine="360"/>
        <w:rPr>
          <w:rFonts w:asciiTheme="minorHAnsi" w:hAnsiTheme="minorHAnsi" w:cstheme="minorHAnsi"/>
          <w:b/>
          <w:bCs/>
          <w:sz w:val="22"/>
          <w:szCs w:val="22"/>
          <w:shd w:val="clear" w:color="auto" w:fill="FFFFFF"/>
        </w:rPr>
      </w:pPr>
      <w:r w:rsidRPr="007B7589">
        <w:rPr>
          <w:rFonts w:asciiTheme="minorHAnsi" w:hAnsiTheme="minorHAnsi" w:cstheme="minorHAnsi"/>
          <w:b/>
          <w:bCs/>
          <w:sz w:val="22"/>
          <w:szCs w:val="22"/>
          <w:shd w:val="clear" w:color="auto" w:fill="FFFFFF"/>
        </w:rPr>
        <w:t>forno e di pasticceria, alimenti di origine animale per i quali non è richiesto il</w:t>
      </w:r>
      <w:r>
        <w:rPr>
          <w:rFonts w:asciiTheme="minorHAnsi" w:hAnsiTheme="minorHAnsi" w:cstheme="minorHAnsi"/>
          <w:b/>
          <w:bCs/>
          <w:sz w:val="22"/>
          <w:szCs w:val="22"/>
          <w:shd w:val="clear" w:color="auto" w:fill="FFFFFF"/>
        </w:rPr>
        <w:t xml:space="preserve"> </w:t>
      </w:r>
      <w:r w:rsidRPr="007B7589">
        <w:rPr>
          <w:rFonts w:asciiTheme="minorHAnsi" w:hAnsiTheme="minorHAnsi" w:cstheme="minorHAnsi"/>
          <w:b/>
          <w:bCs/>
          <w:sz w:val="22"/>
          <w:szCs w:val="22"/>
          <w:shd w:val="clear" w:color="auto" w:fill="FFFFFF"/>
        </w:rPr>
        <w:t>riconoscimento;</w:t>
      </w:r>
    </w:p>
    <w:p w14:paraId="0F49EB89" w14:textId="4405D0D7" w:rsidR="007B7589" w:rsidRPr="007B7589" w:rsidRDefault="007B7589" w:rsidP="007B7589">
      <w:pPr>
        <w:pStyle w:val="Paragrafoelenco"/>
        <w:numPr>
          <w:ilvl w:val="0"/>
          <w:numId w:val="32"/>
        </w:numPr>
        <w:spacing w:after="0" w:line="240" w:lineRule="auto"/>
        <w:rPr>
          <w:rFonts w:asciiTheme="minorHAnsi" w:eastAsia="Times New Roman" w:hAnsiTheme="minorHAnsi" w:cstheme="minorHAnsi"/>
          <w:b/>
          <w:bCs/>
          <w:shd w:val="clear" w:color="auto" w:fill="FFFFFF"/>
          <w:lang w:eastAsia="it-IT"/>
        </w:rPr>
      </w:pPr>
      <w:r w:rsidRPr="007B7589">
        <w:rPr>
          <w:rFonts w:asciiTheme="minorHAnsi" w:eastAsia="Times New Roman" w:hAnsiTheme="minorHAnsi" w:cstheme="minorHAnsi"/>
          <w:b/>
          <w:bCs/>
          <w:shd w:val="clear" w:color="auto" w:fill="FFFFFF"/>
          <w:lang w:eastAsia="it-IT"/>
        </w:rPr>
        <w:t>distributori automatici</w:t>
      </w:r>
      <w:r>
        <w:rPr>
          <w:rFonts w:asciiTheme="minorHAnsi" w:eastAsia="Times New Roman" w:hAnsiTheme="minorHAnsi" w:cstheme="minorHAnsi"/>
          <w:b/>
          <w:bCs/>
          <w:shd w:val="clear" w:color="auto" w:fill="FFFFFF"/>
          <w:lang w:eastAsia="it-IT"/>
        </w:rPr>
        <w:t>.</w:t>
      </w:r>
    </w:p>
    <w:p w14:paraId="21DDADE1" w14:textId="77777777"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lastRenderedPageBreak/>
        <w:t xml:space="preserve">Gli </w:t>
      </w:r>
      <w:r w:rsidRPr="007B7589">
        <w:rPr>
          <w:rFonts w:asciiTheme="minorHAnsi" w:hAnsiTheme="minorHAnsi" w:cstheme="minorHAnsi"/>
          <w:b/>
          <w:bCs/>
          <w:sz w:val="22"/>
          <w:szCs w:val="22"/>
          <w:shd w:val="clear" w:color="auto" w:fill="FFFFFF"/>
        </w:rPr>
        <w:t xml:space="preserve">operatori economici del settore Materiali a contatto con gli alimenti MOCA, </w:t>
      </w:r>
      <w:r w:rsidRPr="007B7589">
        <w:rPr>
          <w:rFonts w:asciiTheme="minorHAnsi" w:hAnsiTheme="minorHAnsi" w:cstheme="minorHAnsi"/>
          <w:sz w:val="22"/>
          <w:szCs w:val="22"/>
          <w:shd w:val="clear" w:color="auto" w:fill="FFFFFF"/>
        </w:rPr>
        <w:t>infine,</w:t>
      </w:r>
      <w:r w:rsidRPr="007B7589">
        <w:rPr>
          <w:rFonts w:asciiTheme="minorHAnsi" w:hAnsiTheme="minorHAnsi" w:cstheme="minorHAnsi"/>
          <w:b/>
          <w:bCs/>
          <w:sz w:val="22"/>
          <w:szCs w:val="22"/>
          <w:shd w:val="clear" w:color="auto" w:fill="FFFFFF"/>
        </w:rPr>
        <w:t xml:space="preserve"> </w:t>
      </w:r>
      <w:r w:rsidRPr="007B7589">
        <w:rPr>
          <w:rFonts w:asciiTheme="minorHAnsi" w:hAnsiTheme="minorHAnsi" w:cstheme="minorHAnsi"/>
          <w:sz w:val="22"/>
          <w:szCs w:val="22"/>
          <w:shd w:val="clear" w:color="auto" w:fill="FFFFFF"/>
        </w:rPr>
        <w:t xml:space="preserve">devono comunicare all’autorità sanitaria territorialmente competente, gli stabilimenti che eseguono tale attività di cui al regolamento (CE) n.2023/2006 (ad eccezione degli stabilimenti che svolgono esclusivamente attività di distribuzione al consumatore finale). </w:t>
      </w:r>
    </w:p>
    <w:p w14:paraId="506452AD" w14:textId="2E299236" w:rsid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Tale comunicazione dovrà essere effettuata ai SUAP competenti per territorio delle sedi operative in cui vengono svolte le attività, che provvederanno all’inoltro ai Dipartimenti di Prevenzione delle AUSL competenti per territorio.</w:t>
      </w:r>
    </w:p>
    <w:p w14:paraId="0BDAEDBF" w14:textId="77777777" w:rsidR="007B7589" w:rsidRPr="007B7589" w:rsidRDefault="007B7589" w:rsidP="007B7589">
      <w:pPr>
        <w:rPr>
          <w:rFonts w:asciiTheme="minorHAnsi" w:hAnsiTheme="minorHAnsi" w:cstheme="minorHAnsi"/>
          <w:sz w:val="22"/>
          <w:szCs w:val="22"/>
          <w:shd w:val="clear" w:color="auto" w:fill="FFFFFF"/>
        </w:rPr>
      </w:pPr>
    </w:p>
    <w:p w14:paraId="33C48AB2" w14:textId="269AB0CF" w:rsidR="007B7589" w:rsidRPr="007B7589" w:rsidRDefault="007B7589" w:rsidP="007B7589">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È </w:t>
      </w:r>
      <w:r w:rsidRPr="007B7589">
        <w:rPr>
          <w:rFonts w:asciiTheme="minorHAnsi" w:hAnsiTheme="minorHAnsi" w:cstheme="minorHAnsi"/>
          <w:sz w:val="22"/>
          <w:szCs w:val="22"/>
          <w:shd w:val="clear" w:color="auto" w:fill="FFFFFF"/>
        </w:rPr>
        <w:t>soggett</w:t>
      </w:r>
      <w:r>
        <w:rPr>
          <w:rFonts w:asciiTheme="minorHAnsi" w:hAnsiTheme="minorHAnsi" w:cstheme="minorHAnsi"/>
          <w:sz w:val="22"/>
          <w:szCs w:val="22"/>
          <w:shd w:val="clear" w:color="auto" w:fill="FFFFFF"/>
        </w:rPr>
        <w:t xml:space="preserve">o </w:t>
      </w:r>
      <w:r w:rsidRPr="007B7589">
        <w:rPr>
          <w:rFonts w:asciiTheme="minorHAnsi" w:hAnsiTheme="minorHAnsi" w:cstheme="minorHAnsi"/>
          <w:sz w:val="22"/>
          <w:szCs w:val="22"/>
          <w:shd w:val="clear" w:color="auto" w:fill="FFFFFF"/>
        </w:rPr>
        <w:t>a notifica chi svolge attività di:</w:t>
      </w:r>
    </w:p>
    <w:p w14:paraId="16098BF5" w14:textId="4C1FCF61"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 </w:t>
      </w:r>
      <w:r w:rsidRPr="007B7589">
        <w:rPr>
          <w:rFonts w:asciiTheme="minorHAnsi" w:hAnsiTheme="minorHAnsi" w:cstheme="minorHAnsi"/>
          <w:b/>
          <w:bCs/>
          <w:sz w:val="22"/>
          <w:szCs w:val="22"/>
          <w:shd w:val="clear" w:color="auto" w:fill="FFFFFF"/>
        </w:rPr>
        <w:t>produzione in proprio o per conto terzi di</w:t>
      </w:r>
    </w:p>
    <w:p w14:paraId="074AFFD0" w14:textId="177DC05B" w:rsidR="007B7589" w:rsidRPr="007B7589" w:rsidRDefault="007B7589" w:rsidP="007B7589">
      <w:pPr>
        <w:ind w:firstLine="708"/>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materiali destinati e oggetti destinati a venire a contatto con alimenti</w:t>
      </w:r>
      <w:r>
        <w:rPr>
          <w:rFonts w:asciiTheme="minorHAnsi" w:hAnsiTheme="minorHAnsi" w:cstheme="minorHAnsi"/>
          <w:sz w:val="22"/>
          <w:szCs w:val="22"/>
          <w:shd w:val="clear" w:color="auto" w:fill="FFFFFF"/>
        </w:rPr>
        <w:t>;</w:t>
      </w:r>
    </w:p>
    <w:p w14:paraId="63447ED1" w14:textId="77777777" w:rsidR="007B7589" w:rsidRPr="007B7589" w:rsidRDefault="007B7589" w:rsidP="007B7589">
      <w:pPr>
        <w:ind w:firstLine="708"/>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materie prime (MP) destinate alla produzione di MOCA.</w:t>
      </w:r>
    </w:p>
    <w:p w14:paraId="55C1F0DD" w14:textId="7BA341F2"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shd w:val="clear" w:color="auto" w:fill="FFFFFF"/>
        </w:rPr>
        <w:t>t</w:t>
      </w:r>
      <w:r w:rsidRPr="007B7589">
        <w:rPr>
          <w:rFonts w:asciiTheme="minorHAnsi" w:hAnsiTheme="minorHAnsi" w:cstheme="minorHAnsi"/>
          <w:b/>
          <w:bCs/>
          <w:sz w:val="22"/>
          <w:szCs w:val="22"/>
          <w:shd w:val="clear" w:color="auto" w:fill="FFFFFF"/>
        </w:rPr>
        <w:t xml:space="preserve">rasformazione di </w:t>
      </w:r>
      <w:r>
        <w:rPr>
          <w:rFonts w:asciiTheme="minorHAnsi" w:hAnsiTheme="minorHAnsi" w:cstheme="minorHAnsi"/>
          <w:b/>
          <w:bCs/>
          <w:sz w:val="22"/>
          <w:szCs w:val="22"/>
          <w:shd w:val="clear" w:color="auto" w:fill="FFFFFF"/>
        </w:rPr>
        <w:t>m</w:t>
      </w:r>
      <w:r w:rsidRPr="007B7589">
        <w:rPr>
          <w:rFonts w:asciiTheme="minorHAnsi" w:hAnsiTheme="minorHAnsi" w:cstheme="minorHAnsi"/>
          <w:b/>
          <w:bCs/>
          <w:sz w:val="22"/>
          <w:szCs w:val="22"/>
          <w:shd w:val="clear" w:color="auto" w:fill="FFFFFF"/>
        </w:rPr>
        <w:t xml:space="preserve">aterie </w:t>
      </w:r>
      <w:r>
        <w:rPr>
          <w:rFonts w:asciiTheme="minorHAnsi" w:hAnsiTheme="minorHAnsi" w:cstheme="minorHAnsi"/>
          <w:b/>
          <w:bCs/>
          <w:sz w:val="22"/>
          <w:szCs w:val="22"/>
          <w:shd w:val="clear" w:color="auto" w:fill="FFFFFF"/>
        </w:rPr>
        <w:t>p</w:t>
      </w:r>
      <w:r w:rsidRPr="007B7589">
        <w:rPr>
          <w:rFonts w:asciiTheme="minorHAnsi" w:hAnsiTheme="minorHAnsi" w:cstheme="minorHAnsi"/>
          <w:b/>
          <w:bCs/>
          <w:sz w:val="22"/>
          <w:szCs w:val="22"/>
          <w:shd w:val="clear" w:color="auto" w:fill="FFFFFF"/>
        </w:rPr>
        <w:t>rime</w:t>
      </w:r>
      <w:r w:rsidRPr="007B7589">
        <w:rPr>
          <w:rFonts w:asciiTheme="minorHAnsi" w:hAnsiTheme="minorHAnsi" w:cstheme="minorHAnsi"/>
          <w:sz w:val="22"/>
          <w:szCs w:val="22"/>
          <w:shd w:val="clear" w:color="auto" w:fill="FFFFFF"/>
        </w:rPr>
        <w:t xml:space="preserve">: comprende la produzione di MOCA a partire da materie prime adatte al contatto con alimenti, es. produzione di </w:t>
      </w:r>
      <w:proofErr w:type="spellStart"/>
      <w:r w:rsidRPr="007B7589">
        <w:rPr>
          <w:rFonts w:asciiTheme="minorHAnsi" w:hAnsiTheme="minorHAnsi" w:cstheme="minorHAnsi"/>
          <w:sz w:val="22"/>
          <w:szCs w:val="22"/>
          <w:shd w:val="clear" w:color="auto" w:fill="FFFFFF"/>
        </w:rPr>
        <w:t>Tetrapack</w:t>
      </w:r>
      <w:proofErr w:type="spellEnd"/>
      <w:r w:rsidRPr="007B7589">
        <w:rPr>
          <w:rFonts w:asciiTheme="minorHAnsi" w:hAnsiTheme="minorHAnsi" w:cstheme="minorHAnsi"/>
          <w:sz w:val="22"/>
          <w:szCs w:val="22"/>
          <w:shd w:val="clear" w:color="auto" w:fill="FFFFFF"/>
        </w:rPr>
        <w:t xml:space="preserve"> ® e poliaccoppiati, formatura di vaschette in alluminio a partenza da fogli sottili e laminati, stampaggio a iniezione di bottiglie in PET o altre materie plastiche, stampa di pellicole, carte, cartoni ecc.</w:t>
      </w:r>
    </w:p>
    <w:p w14:paraId="0C423F6E" w14:textId="7B638EBB"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shd w:val="clear" w:color="auto" w:fill="FFFFFF"/>
        </w:rPr>
        <w:t>a</w:t>
      </w:r>
      <w:r w:rsidRPr="007B7589">
        <w:rPr>
          <w:rFonts w:asciiTheme="minorHAnsi" w:hAnsiTheme="minorHAnsi" w:cstheme="minorHAnsi"/>
          <w:b/>
          <w:bCs/>
          <w:sz w:val="22"/>
          <w:szCs w:val="22"/>
          <w:shd w:val="clear" w:color="auto" w:fill="FFFFFF"/>
        </w:rPr>
        <w:t>ssemblaggio</w:t>
      </w:r>
      <w:r w:rsidRPr="007B7589">
        <w:rPr>
          <w:rFonts w:asciiTheme="minorHAnsi" w:hAnsiTheme="minorHAnsi" w:cstheme="minorHAnsi"/>
          <w:sz w:val="22"/>
          <w:szCs w:val="22"/>
          <w:shd w:val="clear" w:color="auto" w:fill="FFFFFF"/>
        </w:rPr>
        <w:t>: comprende la produzione di oggetti a contatto con alimenti partendo da materie prime adatte al contatto con gli alimenti, es. produzione macchinari, attrezzature, elettrodomestici, ecc.</w:t>
      </w:r>
    </w:p>
    <w:p w14:paraId="64881D13" w14:textId="62C99D4A"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 xml:space="preserve">- </w:t>
      </w:r>
      <w:r>
        <w:rPr>
          <w:rFonts w:asciiTheme="minorHAnsi" w:hAnsiTheme="minorHAnsi" w:cstheme="minorHAnsi"/>
          <w:b/>
          <w:bCs/>
          <w:sz w:val="22"/>
          <w:szCs w:val="22"/>
          <w:shd w:val="clear" w:color="auto" w:fill="FFFFFF"/>
        </w:rPr>
        <w:t>d</w:t>
      </w:r>
      <w:r w:rsidRPr="007B7589">
        <w:rPr>
          <w:rFonts w:asciiTheme="minorHAnsi" w:hAnsiTheme="minorHAnsi" w:cstheme="minorHAnsi"/>
          <w:b/>
          <w:bCs/>
          <w:sz w:val="22"/>
          <w:szCs w:val="22"/>
          <w:shd w:val="clear" w:color="auto" w:fill="FFFFFF"/>
        </w:rPr>
        <w:t>eposito</w:t>
      </w:r>
      <w:r w:rsidRPr="007B7589">
        <w:rPr>
          <w:rFonts w:asciiTheme="minorHAnsi" w:hAnsiTheme="minorHAnsi" w:cstheme="minorHAnsi"/>
          <w:sz w:val="22"/>
          <w:szCs w:val="22"/>
          <w:shd w:val="clear" w:color="auto" w:fill="FFFFFF"/>
        </w:rPr>
        <w:t>: comprende la sola attività di stoccaggio a supporto di una impresa che produce,</w:t>
      </w:r>
    </w:p>
    <w:p w14:paraId="54D051FE" w14:textId="77777777"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sz w:val="22"/>
          <w:szCs w:val="22"/>
          <w:shd w:val="clear" w:color="auto" w:fill="FFFFFF"/>
        </w:rPr>
        <w:t>trasforma o assembla materie prime o MOCA.</w:t>
      </w:r>
    </w:p>
    <w:p w14:paraId="10F16EDE" w14:textId="77777777" w:rsidR="007B7589" w:rsidRDefault="007B7589" w:rsidP="007B7589">
      <w:pPr>
        <w:rPr>
          <w:rFonts w:asciiTheme="minorHAnsi" w:hAnsiTheme="minorHAnsi" w:cstheme="minorHAnsi"/>
          <w:sz w:val="22"/>
          <w:szCs w:val="22"/>
          <w:shd w:val="clear" w:color="auto" w:fill="FFFFFF"/>
        </w:rPr>
      </w:pPr>
    </w:p>
    <w:p w14:paraId="56E67349" w14:textId="36B91ED4" w:rsidR="007B7589" w:rsidRPr="007B7589" w:rsidRDefault="007B7589" w:rsidP="007B7589">
      <w:pPr>
        <w:rPr>
          <w:rFonts w:asciiTheme="minorHAnsi" w:hAnsiTheme="minorHAnsi" w:cstheme="minorHAnsi"/>
          <w:sz w:val="22"/>
          <w:szCs w:val="22"/>
          <w:shd w:val="clear" w:color="auto" w:fill="FFFFFF"/>
        </w:rPr>
      </w:pPr>
      <w:r w:rsidRPr="007B7589">
        <w:rPr>
          <w:rFonts w:asciiTheme="minorHAnsi" w:hAnsiTheme="minorHAnsi" w:cstheme="minorHAnsi"/>
          <w:b/>
          <w:bCs/>
          <w:sz w:val="22"/>
          <w:szCs w:val="22"/>
          <w:shd w:val="clear" w:color="auto" w:fill="FFFFFF"/>
        </w:rPr>
        <w:t>In allegato</w:t>
      </w:r>
      <w:r w:rsidRPr="007B7589">
        <w:rPr>
          <w:rFonts w:asciiTheme="minorHAnsi" w:hAnsiTheme="minorHAnsi" w:cstheme="minorHAnsi"/>
          <w:sz w:val="22"/>
          <w:szCs w:val="22"/>
          <w:shd w:val="clear" w:color="auto" w:fill="FFFFFF"/>
        </w:rPr>
        <w:t xml:space="preserve"> il testo del provvedimento.</w:t>
      </w:r>
    </w:p>
    <w:p w14:paraId="7E5E3C8A" w14:textId="77777777" w:rsidR="00C17932" w:rsidRPr="003E052B" w:rsidRDefault="00C17932" w:rsidP="00C17932">
      <w:pPr>
        <w:rPr>
          <w:rFonts w:asciiTheme="minorHAnsi" w:hAnsiTheme="minorHAnsi" w:cstheme="minorHAnsi"/>
          <w:color w:val="1C2024"/>
          <w:sz w:val="22"/>
          <w:szCs w:val="22"/>
        </w:rPr>
      </w:pPr>
    </w:p>
    <w:p w14:paraId="29236C75" w14:textId="77777777" w:rsidR="00C17932" w:rsidRDefault="00C17932" w:rsidP="008009D5">
      <w:pPr>
        <w:tabs>
          <w:tab w:val="left" w:pos="720"/>
          <w:tab w:val="left" w:pos="900"/>
          <w:tab w:val="left" w:pos="1260"/>
          <w:tab w:val="left" w:pos="5580"/>
          <w:tab w:val="left" w:pos="6120"/>
        </w:tabs>
        <w:ind w:right="-2"/>
        <w:rPr>
          <w:rFonts w:ascii="Calibri" w:hAnsi="Calibri" w:cs="Calibri"/>
          <w:color w:val="1C2024"/>
          <w:sz w:val="22"/>
          <w:szCs w:val="22"/>
        </w:rPr>
      </w:pPr>
    </w:p>
    <w:p w14:paraId="7C7AA374" w14:textId="3EC510D4"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1F0CCBFC" w14:textId="182D3D4E"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Alessandro Castagnino Tel. 075 5820230 – Cell. 335 7175365 </w:t>
      </w:r>
    </w:p>
    <w:p w14:paraId="48FA35B9"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82347">
        <w:rPr>
          <w:rFonts w:ascii="Calibri" w:hAnsi="Calibri" w:cs="Calibri"/>
          <w:sz w:val="22"/>
          <w:szCs w:val="22"/>
          <w:lang w:val="en-US"/>
        </w:rPr>
        <w:t xml:space="preserve">Email: </w:t>
      </w:r>
      <w:hyperlink r:id="rId7" w:history="1">
        <w:r w:rsidRPr="00A82347">
          <w:rPr>
            <w:rFonts w:ascii="Calibri" w:hAnsi="Calibri" w:cs="Calibri"/>
            <w:color w:val="0000FF"/>
            <w:sz w:val="22"/>
            <w:szCs w:val="22"/>
            <w:u w:val="single"/>
            <w:lang w:val="en-US"/>
          </w:rPr>
          <w:t>castagnino@confindustria.umbria.it</w:t>
        </w:r>
      </w:hyperlink>
      <w:r w:rsidRPr="00A82347">
        <w:rPr>
          <w:rFonts w:ascii="Calibri" w:hAnsi="Calibri" w:cs="Calibri"/>
          <w:sz w:val="22"/>
          <w:szCs w:val="22"/>
          <w:lang w:val="en-US"/>
        </w:rPr>
        <w:br/>
      </w: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7B7589"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7B7589">
        <w:rPr>
          <w:rFonts w:ascii="Calibri" w:hAnsi="Calibri" w:cs="Calibri"/>
          <w:sz w:val="22"/>
          <w:szCs w:val="22"/>
          <w:lang w:val="en-US"/>
        </w:rPr>
        <w:t xml:space="preserve">Email: </w:t>
      </w:r>
      <w:hyperlink r:id="rId8" w:history="1">
        <w:r w:rsidRPr="007B7589">
          <w:rPr>
            <w:rFonts w:ascii="Calibri" w:hAnsi="Calibri" w:cs="Calibri"/>
            <w:color w:val="0000FF"/>
            <w:sz w:val="22"/>
            <w:szCs w:val="22"/>
            <w:u w:val="single"/>
            <w:lang w:val="en-US"/>
          </w:rPr>
          <w:t>vignaroli@confindustria.umbria.it</w:t>
        </w:r>
      </w:hyperlink>
      <w:r w:rsidRPr="007B7589">
        <w:rPr>
          <w:rFonts w:ascii="Calibri" w:hAnsi="Calibri" w:cs="Calibri"/>
          <w:sz w:val="22"/>
          <w:szCs w:val="22"/>
          <w:lang w:val="en-US"/>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proofErr w:type="gramStart"/>
      <w:r w:rsidRPr="00A82347">
        <w:rPr>
          <w:rFonts w:ascii="Calibri" w:hAnsi="Calibri" w:cs="Calibri"/>
          <w:sz w:val="22"/>
          <w:szCs w:val="22"/>
        </w:rPr>
        <w:t>Email</w:t>
      </w:r>
      <w:proofErr w:type="gramEnd"/>
      <w:r w:rsidRPr="00A82347">
        <w:rPr>
          <w:rFonts w:ascii="Calibri" w:hAnsi="Calibri" w:cs="Calibri"/>
          <w:sz w:val="22"/>
          <w:szCs w:val="22"/>
        </w:rPr>
        <w:t>: </w:t>
      </w:r>
      <w:hyperlink r:id="rId9"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75D1AF95"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3E052B">
        <w:rPr>
          <w:rFonts w:ascii="Calibri" w:hAnsi="Calibri" w:cs="Calibri"/>
          <w:sz w:val="22"/>
          <w:szCs w:val="22"/>
        </w:rPr>
        <w:t>0</w:t>
      </w:r>
      <w:r w:rsidR="007B7589">
        <w:rPr>
          <w:rFonts w:ascii="Calibri" w:hAnsi="Calibri" w:cs="Calibri"/>
          <w:sz w:val="22"/>
          <w:szCs w:val="22"/>
        </w:rPr>
        <w:t>2</w:t>
      </w:r>
      <w:r w:rsidR="00A66B46" w:rsidRPr="00A00EBE">
        <w:rPr>
          <w:rFonts w:ascii="Calibri" w:hAnsi="Calibri" w:cs="Calibri"/>
          <w:sz w:val="22"/>
          <w:szCs w:val="22"/>
        </w:rPr>
        <w:t>/</w:t>
      </w:r>
      <w:r w:rsidR="003E052B">
        <w:rPr>
          <w:rFonts w:ascii="Calibri" w:hAnsi="Calibri" w:cs="Calibri"/>
          <w:sz w:val="22"/>
          <w:szCs w:val="22"/>
        </w:rPr>
        <w:t>10</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4D011" w14:textId="77777777" w:rsidR="00C65603" w:rsidRDefault="00C65603">
      <w:r>
        <w:separator/>
      </w:r>
    </w:p>
  </w:endnote>
  <w:endnote w:type="continuationSeparator" w:id="0">
    <w:p w14:paraId="3ADD32B6" w14:textId="77777777" w:rsidR="00C65603" w:rsidRDefault="00C6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21D53" w14:textId="77777777" w:rsidR="00C65603" w:rsidRDefault="00C65603">
      <w:r>
        <w:separator/>
      </w:r>
    </w:p>
  </w:footnote>
  <w:footnote w:type="continuationSeparator" w:id="0">
    <w:p w14:paraId="520BE34C" w14:textId="77777777" w:rsidR="00C65603" w:rsidRDefault="00C6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00592B2B" w:rsidR="001867E9" w:rsidRDefault="00217122">
          <w:pPr>
            <w:tabs>
              <w:tab w:val="left" w:pos="720"/>
              <w:tab w:val="left" w:pos="900"/>
              <w:tab w:val="left" w:pos="1260"/>
              <w:tab w:val="left" w:pos="1980"/>
            </w:tabs>
          </w:pPr>
          <w:r>
            <w:rPr>
              <w:noProof/>
              <w:color w:val="205394"/>
            </w:rPr>
            <w:drawing>
              <wp:inline distT="0" distB="0" distL="0" distR="0" wp14:anchorId="6656F282" wp14:editId="5D577CBC">
                <wp:extent cx="523875" cy="495300"/>
                <wp:effectExtent l="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E3B2D20"/>
    <w:multiLevelType w:val="hybridMultilevel"/>
    <w:tmpl w:val="3E887B1E"/>
    <w:lvl w:ilvl="0" w:tplc="D44E2A54">
      <w:start w:val="7"/>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9"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0D63C2"/>
    <w:multiLevelType w:val="hybridMultilevel"/>
    <w:tmpl w:val="B1F46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20"/>
  </w:num>
  <w:num w:numId="2">
    <w:abstractNumId w:val="17"/>
  </w:num>
  <w:num w:numId="3">
    <w:abstractNumId w:val="21"/>
  </w:num>
  <w:num w:numId="4">
    <w:abstractNumId w:val="12"/>
  </w:num>
  <w:num w:numId="5">
    <w:abstractNumId w:val="2"/>
  </w:num>
  <w:num w:numId="6">
    <w:abstractNumId w:val="13"/>
  </w:num>
  <w:num w:numId="7">
    <w:abstractNumId w:val="16"/>
  </w:num>
  <w:num w:numId="8">
    <w:abstractNumId w:val="25"/>
  </w:num>
  <w:num w:numId="9">
    <w:abstractNumId w:val="30"/>
  </w:num>
  <w:num w:numId="10">
    <w:abstractNumId w:val="24"/>
  </w:num>
  <w:num w:numId="11">
    <w:abstractNumId w:val="14"/>
  </w:num>
  <w:num w:numId="12">
    <w:abstractNumId w:val="22"/>
  </w:num>
  <w:num w:numId="13">
    <w:abstractNumId w:val="5"/>
  </w:num>
  <w:num w:numId="14">
    <w:abstractNumId w:val="11"/>
  </w:num>
  <w:num w:numId="15">
    <w:abstractNumId w:val="0"/>
  </w:num>
  <w:num w:numId="16">
    <w:abstractNumId w:val="3"/>
  </w:num>
  <w:num w:numId="17">
    <w:abstractNumId w:val="18"/>
  </w:num>
  <w:num w:numId="18">
    <w:abstractNumId w:val="1"/>
  </w:num>
  <w:num w:numId="19">
    <w:abstractNumId w:val="26"/>
  </w:num>
  <w:num w:numId="20">
    <w:abstractNumId w:val="19"/>
  </w:num>
  <w:num w:numId="21">
    <w:abstractNumId w:val="8"/>
  </w:num>
  <w:num w:numId="22">
    <w:abstractNumId w:val="29"/>
  </w:num>
  <w:num w:numId="23">
    <w:abstractNumId w:val="15"/>
  </w:num>
  <w:num w:numId="24">
    <w:abstractNumId w:val="9"/>
  </w:num>
  <w:num w:numId="25">
    <w:abstractNumId w:val="4"/>
  </w:num>
  <w:num w:numId="26">
    <w:abstractNumId w:val="6"/>
  </w:num>
  <w:num w:numId="27">
    <w:abstractNumId w:val="28"/>
  </w:num>
  <w:num w:numId="28">
    <w:abstractNumId w:val="23"/>
  </w:num>
  <w:num w:numId="29">
    <w:abstractNumId w:val="10"/>
  </w:num>
  <w:num w:numId="30">
    <w:abstractNumId w:val="31"/>
  </w:num>
  <w:num w:numId="31">
    <w:abstractNumId w:val="27"/>
  </w:num>
  <w:num w:numId="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A323E"/>
    <w:rsid w:val="000A39AE"/>
    <w:rsid w:val="000B06C6"/>
    <w:rsid w:val="000B2103"/>
    <w:rsid w:val="000B520B"/>
    <w:rsid w:val="000B75FE"/>
    <w:rsid w:val="000C53BB"/>
    <w:rsid w:val="000D0123"/>
    <w:rsid w:val="000D36C6"/>
    <w:rsid w:val="000D4668"/>
    <w:rsid w:val="000D4ADA"/>
    <w:rsid w:val="000E38C9"/>
    <w:rsid w:val="000E5391"/>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66C4"/>
    <w:rsid w:val="00216BD5"/>
    <w:rsid w:val="00217122"/>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2E6758"/>
    <w:rsid w:val="00300CDB"/>
    <w:rsid w:val="00306EA7"/>
    <w:rsid w:val="003114C4"/>
    <w:rsid w:val="00322729"/>
    <w:rsid w:val="00322EE8"/>
    <w:rsid w:val="00326815"/>
    <w:rsid w:val="003347DC"/>
    <w:rsid w:val="003360E9"/>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052B"/>
    <w:rsid w:val="003E5874"/>
    <w:rsid w:val="0041047E"/>
    <w:rsid w:val="0041177C"/>
    <w:rsid w:val="0042052A"/>
    <w:rsid w:val="0042117E"/>
    <w:rsid w:val="004353E3"/>
    <w:rsid w:val="004414A4"/>
    <w:rsid w:val="00442812"/>
    <w:rsid w:val="004435C3"/>
    <w:rsid w:val="00445DF1"/>
    <w:rsid w:val="00454209"/>
    <w:rsid w:val="00465747"/>
    <w:rsid w:val="00472D2B"/>
    <w:rsid w:val="00474ADE"/>
    <w:rsid w:val="00483E55"/>
    <w:rsid w:val="004A2213"/>
    <w:rsid w:val="004A3F64"/>
    <w:rsid w:val="004A43B9"/>
    <w:rsid w:val="004A5095"/>
    <w:rsid w:val="004B0EF1"/>
    <w:rsid w:val="004B5C7B"/>
    <w:rsid w:val="004B691C"/>
    <w:rsid w:val="004C1CE6"/>
    <w:rsid w:val="004C2CC8"/>
    <w:rsid w:val="004D4619"/>
    <w:rsid w:val="004D48E8"/>
    <w:rsid w:val="004D4957"/>
    <w:rsid w:val="004D5498"/>
    <w:rsid w:val="004E0C94"/>
    <w:rsid w:val="004E62C8"/>
    <w:rsid w:val="004F2D22"/>
    <w:rsid w:val="00517FCD"/>
    <w:rsid w:val="00520F32"/>
    <w:rsid w:val="0053112D"/>
    <w:rsid w:val="00531CA4"/>
    <w:rsid w:val="00532215"/>
    <w:rsid w:val="00532391"/>
    <w:rsid w:val="00532542"/>
    <w:rsid w:val="00534BD4"/>
    <w:rsid w:val="00546306"/>
    <w:rsid w:val="00552D0E"/>
    <w:rsid w:val="0055654F"/>
    <w:rsid w:val="005615FE"/>
    <w:rsid w:val="00565BA4"/>
    <w:rsid w:val="00570DF9"/>
    <w:rsid w:val="00571AA5"/>
    <w:rsid w:val="005744C1"/>
    <w:rsid w:val="00580D22"/>
    <w:rsid w:val="005952A0"/>
    <w:rsid w:val="005A2FBD"/>
    <w:rsid w:val="005A6420"/>
    <w:rsid w:val="005A68AC"/>
    <w:rsid w:val="005B68CD"/>
    <w:rsid w:val="005B7323"/>
    <w:rsid w:val="005C488C"/>
    <w:rsid w:val="005D2783"/>
    <w:rsid w:val="005D3F4A"/>
    <w:rsid w:val="005D58C7"/>
    <w:rsid w:val="005E05F4"/>
    <w:rsid w:val="005E29D1"/>
    <w:rsid w:val="005E2A6A"/>
    <w:rsid w:val="005E5E6F"/>
    <w:rsid w:val="005E694F"/>
    <w:rsid w:val="005E7FCE"/>
    <w:rsid w:val="005F136F"/>
    <w:rsid w:val="00600B26"/>
    <w:rsid w:val="00606C5A"/>
    <w:rsid w:val="0061424A"/>
    <w:rsid w:val="00617528"/>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22B7"/>
    <w:rsid w:val="007248A8"/>
    <w:rsid w:val="00724906"/>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B7589"/>
    <w:rsid w:val="007C1279"/>
    <w:rsid w:val="007D0756"/>
    <w:rsid w:val="007D102D"/>
    <w:rsid w:val="007D27BC"/>
    <w:rsid w:val="007D346E"/>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316C"/>
    <w:rsid w:val="00895D5A"/>
    <w:rsid w:val="008A68D2"/>
    <w:rsid w:val="008B5620"/>
    <w:rsid w:val="008C1727"/>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1B00"/>
    <w:rsid w:val="009A3F24"/>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874BE"/>
    <w:rsid w:val="00A92403"/>
    <w:rsid w:val="00A93510"/>
    <w:rsid w:val="00AA3206"/>
    <w:rsid w:val="00AA755B"/>
    <w:rsid w:val="00AA7A03"/>
    <w:rsid w:val="00AB5961"/>
    <w:rsid w:val="00AB71C8"/>
    <w:rsid w:val="00AC09F6"/>
    <w:rsid w:val="00AC0DA4"/>
    <w:rsid w:val="00AC1A58"/>
    <w:rsid w:val="00AC363E"/>
    <w:rsid w:val="00AD53C0"/>
    <w:rsid w:val="00AD6736"/>
    <w:rsid w:val="00AE3B49"/>
    <w:rsid w:val="00AE4116"/>
    <w:rsid w:val="00AE4612"/>
    <w:rsid w:val="00AE484B"/>
    <w:rsid w:val="00AE7C4C"/>
    <w:rsid w:val="00AF1207"/>
    <w:rsid w:val="00AF303A"/>
    <w:rsid w:val="00AF4404"/>
    <w:rsid w:val="00AF4D79"/>
    <w:rsid w:val="00AF6300"/>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C10A7A"/>
    <w:rsid w:val="00C13B4C"/>
    <w:rsid w:val="00C17932"/>
    <w:rsid w:val="00C24A9A"/>
    <w:rsid w:val="00C27714"/>
    <w:rsid w:val="00C3700B"/>
    <w:rsid w:val="00C433AC"/>
    <w:rsid w:val="00C46AA6"/>
    <w:rsid w:val="00C5003A"/>
    <w:rsid w:val="00C6046C"/>
    <w:rsid w:val="00C61BFC"/>
    <w:rsid w:val="00C6483F"/>
    <w:rsid w:val="00C65603"/>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4D11"/>
    <w:rsid w:val="00D46D8F"/>
    <w:rsid w:val="00D50F2A"/>
    <w:rsid w:val="00D54D0D"/>
    <w:rsid w:val="00D551CF"/>
    <w:rsid w:val="00D66BBB"/>
    <w:rsid w:val="00D70745"/>
    <w:rsid w:val="00D71FF5"/>
    <w:rsid w:val="00D74092"/>
    <w:rsid w:val="00D74880"/>
    <w:rsid w:val="00D77E54"/>
    <w:rsid w:val="00DA26BC"/>
    <w:rsid w:val="00DA4273"/>
    <w:rsid w:val="00DA5995"/>
    <w:rsid w:val="00DB3985"/>
    <w:rsid w:val="00DB4953"/>
    <w:rsid w:val="00DC0ED4"/>
    <w:rsid w:val="00DC7F97"/>
    <w:rsid w:val="00DD019F"/>
    <w:rsid w:val="00DE3413"/>
    <w:rsid w:val="00DE72E8"/>
    <w:rsid w:val="00DF5163"/>
    <w:rsid w:val="00DF7579"/>
    <w:rsid w:val="00E00F2C"/>
    <w:rsid w:val="00E07BDC"/>
    <w:rsid w:val="00E15415"/>
    <w:rsid w:val="00E20570"/>
    <w:rsid w:val="00E209CB"/>
    <w:rsid w:val="00E25D34"/>
    <w:rsid w:val="00E273B4"/>
    <w:rsid w:val="00E31E8B"/>
    <w:rsid w:val="00E36D39"/>
    <w:rsid w:val="00E44565"/>
    <w:rsid w:val="00E44B8E"/>
    <w:rsid w:val="00E47D5B"/>
    <w:rsid w:val="00E5260E"/>
    <w:rsid w:val="00E56C4C"/>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C7629"/>
    <w:rsid w:val="00FD401E"/>
    <w:rsid w:val="00FD4772"/>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78856004">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855262631">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tagnino@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357</TotalTime>
  <Pages>2</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4888</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19</cp:revision>
  <cp:lastPrinted>2019-02-27T17:41:00Z</cp:lastPrinted>
  <dcterms:created xsi:type="dcterms:W3CDTF">2020-09-15T10:19:00Z</dcterms:created>
  <dcterms:modified xsi:type="dcterms:W3CDTF">2020-10-02T12:18:00Z</dcterms:modified>
</cp:coreProperties>
</file>